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AD260A">
      <w:pPr>
        <w:jc w:val="both"/>
        <w:rPr>
          <w:rFonts w:hint="eastAsia" w:ascii="宋体" w:hAnsi="宋体" w:cs="宋体"/>
          <w:b/>
          <w:color w:val="auto"/>
          <w:sz w:val="30"/>
          <w:szCs w:val="30"/>
          <w:lang w:val="en-US" w:eastAsia="zh-CN"/>
        </w:rPr>
      </w:pPr>
      <w:r>
        <w:rPr>
          <w:rFonts w:hint="eastAsia" w:ascii="宋体" w:hAnsi="宋体" w:cs="宋体"/>
          <w:b/>
          <w:color w:val="auto"/>
          <w:sz w:val="30"/>
          <w:szCs w:val="30"/>
          <w:lang w:val="en-US" w:eastAsia="zh-CN"/>
        </w:rPr>
        <w:t>附件2</w:t>
      </w:r>
    </w:p>
    <w:p w14:paraId="003331B6">
      <w:pPr>
        <w:spacing w:line="360" w:lineRule="auto"/>
        <w:jc w:val="center"/>
        <w:rPr>
          <w:rFonts w:hint="eastAsia" w:ascii="宋体" w:hAnsi="宋体" w:cs="宋体"/>
          <w:b/>
          <w:color w:val="auto"/>
          <w:sz w:val="30"/>
          <w:szCs w:val="30"/>
          <w:lang w:val="en-US" w:eastAsia="zh-CN"/>
        </w:rPr>
      </w:pPr>
      <w:r>
        <w:rPr>
          <w:rFonts w:hint="eastAsia" w:ascii="微软雅黑" w:hAnsi="微软雅黑" w:eastAsia="微软雅黑" w:cs="微软雅黑"/>
          <w:b/>
          <w:bCs w:val="0"/>
          <w:color w:val="auto"/>
          <w:sz w:val="24"/>
          <w:lang w:val="en-US" w:eastAsia="zh-CN"/>
        </w:rPr>
        <w:t>设备</w:t>
      </w:r>
      <w:r>
        <w:rPr>
          <w:rFonts w:hint="eastAsia" w:ascii="微软雅黑" w:hAnsi="微软雅黑" w:eastAsia="微软雅黑" w:cs="微软雅黑"/>
          <w:b/>
          <w:bCs/>
          <w:color w:val="auto"/>
          <w:sz w:val="24"/>
          <w:lang w:val="en-US" w:eastAsia="zh-CN"/>
        </w:rPr>
        <w:t>清单及要求</w:t>
      </w:r>
    </w:p>
    <w:p w14:paraId="60FFFD0E">
      <w:pPr>
        <w:spacing w:line="360" w:lineRule="auto"/>
        <w:jc w:val="both"/>
        <w:rPr>
          <w:rFonts w:ascii="微软雅黑" w:hAnsi="微软雅黑" w:eastAsia="微软雅黑" w:cs="微软雅黑"/>
          <w:b/>
          <w:bCs w:val="0"/>
          <w:color w:val="auto"/>
          <w:sz w:val="24"/>
        </w:rPr>
      </w:pPr>
      <w:r>
        <w:rPr>
          <w:rFonts w:hint="eastAsia" w:ascii="微软雅黑" w:hAnsi="微软雅黑" w:eastAsia="微软雅黑" w:cs="微软雅黑"/>
          <w:b/>
          <w:bCs w:val="0"/>
          <w:color w:val="auto"/>
          <w:sz w:val="24"/>
          <w:lang w:val="en-US" w:eastAsia="zh-CN"/>
        </w:rPr>
        <w:t>一、设备</w:t>
      </w:r>
      <w:r>
        <w:rPr>
          <w:rFonts w:hint="eastAsia" w:ascii="微软雅黑" w:hAnsi="微软雅黑" w:eastAsia="微软雅黑" w:cs="微软雅黑"/>
          <w:b/>
          <w:bCs w:val="0"/>
          <w:color w:val="auto"/>
          <w:sz w:val="24"/>
        </w:rPr>
        <w:t>清单：</w:t>
      </w:r>
    </w:p>
    <w:tbl>
      <w:tblPr>
        <w:tblStyle w:val="14"/>
        <w:tblW w:w="7879" w:type="dxa"/>
        <w:jc w:val="center"/>
        <w:tblLayout w:type="fixed"/>
        <w:tblCellMar>
          <w:top w:w="0" w:type="dxa"/>
          <w:left w:w="108" w:type="dxa"/>
          <w:bottom w:w="0" w:type="dxa"/>
          <w:right w:w="108" w:type="dxa"/>
        </w:tblCellMar>
      </w:tblPr>
      <w:tblGrid>
        <w:gridCol w:w="789"/>
        <w:gridCol w:w="4406"/>
        <w:gridCol w:w="2684"/>
      </w:tblGrid>
      <w:tr w14:paraId="5451B022">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579BF9D2">
            <w:pPr>
              <w:spacing w:line="360" w:lineRule="auto"/>
              <w:jc w:val="both"/>
              <w:rPr>
                <w:rFonts w:ascii="微软雅黑" w:hAnsi="微软雅黑" w:eastAsia="微软雅黑" w:cs="微软雅黑"/>
                <w:b/>
                <w:bCs/>
                <w:color w:val="auto"/>
                <w:sz w:val="24"/>
              </w:rPr>
            </w:pPr>
            <w:r>
              <w:rPr>
                <w:rFonts w:hint="eastAsia" w:ascii="微软雅黑" w:hAnsi="微软雅黑" w:eastAsia="微软雅黑" w:cs="微软雅黑"/>
                <w:b/>
                <w:bCs/>
                <w:color w:val="auto"/>
                <w:sz w:val="24"/>
              </w:rPr>
              <w:t>序号</w:t>
            </w:r>
          </w:p>
        </w:tc>
        <w:tc>
          <w:tcPr>
            <w:tcW w:w="4406" w:type="dxa"/>
            <w:tcBorders>
              <w:top w:val="single" w:color="000000" w:sz="4" w:space="0"/>
              <w:left w:val="single" w:color="000000" w:sz="4" w:space="0"/>
              <w:bottom w:val="single" w:color="000000" w:sz="4" w:space="0"/>
              <w:right w:val="single" w:color="000000" w:sz="4" w:space="0"/>
            </w:tcBorders>
            <w:vAlign w:val="center"/>
          </w:tcPr>
          <w:p w14:paraId="15CBD12C">
            <w:pPr>
              <w:spacing w:line="360" w:lineRule="auto"/>
              <w:jc w:val="both"/>
              <w:rPr>
                <w:rFonts w:ascii="微软雅黑" w:hAnsi="微软雅黑" w:eastAsia="微软雅黑" w:cs="微软雅黑"/>
                <w:b/>
                <w:bCs/>
                <w:color w:val="auto"/>
                <w:sz w:val="24"/>
              </w:rPr>
            </w:pPr>
            <w:r>
              <w:rPr>
                <w:rFonts w:hint="eastAsia" w:ascii="微软雅黑" w:hAnsi="微软雅黑" w:eastAsia="微软雅黑" w:cs="微软雅黑"/>
                <w:b/>
                <w:bCs/>
                <w:color w:val="auto"/>
                <w:sz w:val="24"/>
              </w:rPr>
              <w:t>设备名称</w:t>
            </w:r>
          </w:p>
        </w:tc>
        <w:tc>
          <w:tcPr>
            <w:tcW w:w="2684" w:type="dxa"/>
            <w:tcBorders>
              <w:top w:val="single" w:color="000000" w:sz="4" w:space="0"/>
              <w:left w:val="single" w:color="000000" w:sz="4" w:space="0"/>
              <w:bottom w:val="single" w:color="000000" w:sz="4" w:space="0"/>
              <w:right w:val="single" w:color="000000" w:sz="4" w:space="0"/>
            </w:tcBorders>
            <w:vAlign w:val="center"/>
          </w:tcPr>
          <w:p w14:paraId="47243D55">
            <w:pPr>
              <w:spacing w:line="360" w:lineRule="auto"/>
              <w:jc w:val="both"/>
              <w:rPr>
                <w:rFonts w:ascii="微软雅黑" w:hAnsi="微软雅黑" w:eastAsia="微软雅黑" w:cs="微软雅黑"/>
                <w:b/>
                <w:bCs/>
                <w:color w:val="auto"/>
                <w:sz w:val="24"/>
              </w:rPr>
            </w:pPr>
            <w:r>
              <w:rPr>
                <w:rFonts w:hint="eastAsia" w:ascii="微软雅黑" w:hAnsi="微软雅黑" w:eastAsia="微软雅黑" w:cs="微软雅黑"/>
                <w:b/>
                <w:bCs/>
                <w:color w:val="auto"/>
                <w:sz w:val="24"/>
              </w:rPr>
              <w:t>数量</w:t>
            </w:r>
          </w:p>
        </w:tc>
      </w:tr>
      <w:tr w14:paraId="0B85DF2B">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5CDEE26A">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1</w:t>
            </w:r>
          </w:p>
        </w:tc>
        <w:tc>
          <w:tcPr>
            <w:tcW w:w="4406" w:type="dxa"/>
            <w:tcBorders>
              <w:top w:val="single" w:color="000000" w:sz="4" w:space="0"/>
              <w:left w:val="single" w:color="000000" w:sz="4" w:space="0"/>
              <w:bottom w:val="single" w:color="000000" w:sz="4" w:space="0"/>
              <w:right w:val="single" w:color="000000" w:sz="4" w:space="0"/>
            </w:tcBorders>
            <w:vAlign w:val="center"/>
          </w:tcPr>
          <w:p w14:paraId="6DA0E315">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全自动生化免疫流水线  </w:t>
            </w:r>
          </w:p>
        </w:tc>
        <w:tc>
          <w:tcPr>
            <w:tcW w:w="2684" w:type="dxa"/>
            <w:tcBorders>
              <w:top w:val="single" w:color="000000" w:sz="4" w:space="0"/>
              <w:left w:val="single" w:color="000000" w:sz="4" w:space="0"/>
              <w:bottom w:val="single" w:color="000000" w:sz="4" w:space="0"/>
              <w:right w:val="single" w:color="000000" w:sz="4" w:space="0"/>
            </w:tcBorders>
            <w:vAlign w:val="center"/>
          </w:tcPr>
          <w:p w14:paraId="50349005">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1套</w:t>
            </w:r>
          </w:p>
        </w:tc>
      </w:tr>
      <w:tr w14:paraId="12B4E133">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29CF35CF">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w:t>
            </w:r>
          </w:p>
        </w:tc>
        <w:tc>
          <w:tcPr>
            <w:tcW w:w="4406" w:type="dxa"/>
            <w:tcBorders>
              <w:top w:val="single" w:color="000000" w:sz="4" w:space="0"/>
              <w:left w:val="single" w:color="000000" w:sz="4" w:space="0"/>
              <w:bottom w:val="single" w:color="000000" w:sz="4" w:space="0"/>
              <w:right w:val="single" w:color="000000" w:sz="4" w:space="0"/>
            </w:tcBorders>
            <w:vAlign w:val="center"/>
          </w:tcPr>
          <w:p w14:paraId="0D502117">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全自动生化免疫流水线（急诊）  </w:t>
            </w:r>
          </w:p>
        </w:tc>
        <w:tc>
          <w:tcPr>
            <w:tcW w:w="2684" w:type="dxa"/>
            <w:tcBorders>
              <w:top w:val="single" w:color="000000" w:sz="4" w:space="0"/>
              <w:left w:val="single" w:color="000000" w:sz="4" w:space="0"/>
              <w:bottom w:val="single" w:color="000000" w:sz="4" w:space="0"/>
              <w:right w:val="single" w:color="000000" w:sz="4" w:space="0"/>
            </w:tcBorders>
            <w:vAlign w:val="center"/>
          </w:tcPr>
          <w:p w14:paraId="56122F7E">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4套</w:t>
            </w:r>
          </w:p>
        </w:tc>
      </w:tr>
      <w:tr w14:paraId="6B02CB62">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40300EA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w:t>
            </w:r>
          </w:p>
        </w:tc>
        <w:tc>
          <w:tcPr>
            <w:tcW w:w="4406" w:type="dxa"/>
            <w:tcBorders>
              <w:top w:val="single" w:color="000000" w:sz="4" w:space="0"/>
              <w:left w:val="single" w:color="000000" w:sz="4" w:space="0"/>
              <w:bottom w:val="single" w:color="000000" w:sz="4" w:space="0"/>
              <w:right w:val="single" w:color="000000" w:sz="4" w:space="0"/>
            </w:tcBorders>
            <w:vAlign w:val="center"/>
          </w:tcPr>
          <w:p w14:paraId="0EAE4408">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全自动血细胞分析流水线   </w:t>
            </w:r>
          </w:p>
        </w:tc>
        <w:tc>
          <w:tcPr>
            <w:tcW w:w="2684" w:type="dxa"/>
            <w:tcBorders>
              <w:top w:val="single" w:color="000000" w:sz="4" w:space="0"/>
              <w:left w:val="single" w:color="000000" w:sz="4" w:space="0"/>
              <w:bottom w:val="single" w:color="000000" w:sz="4" w:space="0"/>
              <w:right w:val="single" w:color="000000" w:sz="4" w:space="0"/>
            </w:tcBorders>
            <w:vAlign w:val="center"/>
          </w:tcPr>
          <w:p w14:paraId="4E749EF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4套</w:t>
            </w:r>
          </w:p>
        </w:tc>
      </w:tr>
      <w:tr w14:paraId="0E359ECF">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65415926">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w:t>
            </w:r>
          </w:p>
        </w:tc>
        <w:tc>
          <w:tcPr>
            <w:tcW w:w="4406" w:type="dxa"/>
            <w:tcBorders>
              <w:top w:val="single" w:color="000000" w:sz="4" w:space="0"/>
              <w:left w:val="single" w:color="000000" w:sz="4" w:space="0"/>
              <w:bottom w:val="single" w:color="000000" w:sz="4" w:space="0"/>
              <w:right w:val="single" w:color="000000" w:sz="4" w:space="0"/>
            </w:tcBorders>
            <w:vAlign w:val="center"/>
          </w:tcPr>
          <w:p w14:paraId="1705EC09">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全自动血凝分析流水线  </w:t>
            </w:r>
          </w:p>
        </w:tc>
        <w:tc>
          <w:tcPr>
            <w:tcW w:w="2684" w:type="dxa"/>
            <w:tcBorders>
              <w:top w:val="single" w:color="000000" w:sz="4" w:space="0"/>
              <w:left w:val="single" w:color="000000" w:sz="4" w:space="0"/>
              <w:bottom w:val="single" w:color="000000" w:sz="4" w:space="0"/>
              <w:right w:val="single" w:color="000000" w:sz="4" w:space="0"/>
            </w:tcBorders>
            <w:vAlign w:val="center"/>
          </w:tcPr>
          <w:p w14:paraId="593CD7F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4套</w:t>
            </w:r>
          </w:p>
        </w:tc>
      </w:tr>
      <w:tr w14:paraId="77F71FD5">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3A1A25A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5</w:t>
            </w:r>
          </w:p>
        </w:tc>
        <w:tc>
          <w:tcPr>
            <w:tcW w:w="4406" w:type="dxa"/>
            <w:tcBorders>
              <w:top w:val="single" w:color="000000" w:sz="4" w:space="0"/>
              <w:left w:val="single" w:color="000000" w:sz="4" w:space="0"/>
              <w:bottom w:val="single" w:color="000000" w:sz="4" w:space="0"/>
              <w:right w:val="single" w:color="000000" w:sz="4" w:space="0"/>
            </w:tcBorders>
            <w:vAlign w:val="center"/>
          </w:tcPr>
          <w:p w14:paraId="1822F87F">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全自动尿液分析系统     </w:t>
            </w:r>
          </w:p>
        </w:tc>
        <w:tc>
          <w:tcPr>
            <w:tcW w:w="2684" w:type="dxa"/>
            <w:tcBorders>
              <w:top w:val="single" w:color="000000" w:sz="4" w:space="0"/>
              <w:left w:val="single" w:color="000000" w:sz="4" w:space="0"/>
              <w:bottom w:val="single" w:color="000000" w:sz="4" w:space="0"/>
              <w:right w:val="single" w:color="000000" w:sz="4" w:space="0"/>
            </w:tcBorders>
            <w:vAlign w:val="center"/>
          </w:tcPr>
          <w:p w14:paraId="10A3D38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4套</w:t>
            </w:r>
          </w:p>
        </w:tc>
      </w:tr>
      <w:tr w14:paraId="7DBDE671">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5E8D324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6</w:t>
            </w:r>
            <w:bookmarkStart w:id="18" w:name="_GoBack"/>
            <w:bookmarkEnd w:id="18"/>
          </w:p>
        </w:tc>
        <w:tc>
          <w:tcPr>
            <w:tcW w:w="4406" w:type="dxa"/>
            <w:tcBorders>
              <w:top w:val="single" w:color="000000" w:sz="4" w:space="0"/>
              <w:left w:val="single" w:color="000000" w:sz="4" w:space="0"/>
              <w:bottom w:val="single" w:color="000000" w:sz="4" w:space="0"/>
              <w:right w:val="single" w:color="000000" w:sz="4" w:space="0"/>
            </w:tcBorders>
            <w:vAlign w:val="center"/>
          </w:tcPr>
          <w:p w14:paraId="69CDB576">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全自动白带分析系统    </w:t>
            </w:r>
          </w:p>
        </w:tc>
        <w:tc>
          <w:tcPr>
            <w:tcW w:w="2684" w:type="dxa"/>
            <w:tcBorders>
              <w:top w:val="single" w:color="000000" w:sz="4" w:space="0"/>
              <w:left w:val="single" w:color="000000" w:sz="4" w:space="0"/>
              <w:bottom w:val="single" w:color="000000" w:sz="4" w:space="0"/>
              <w:right w:val="single" w:color="000000" w:sz="4" w:space="0"/>
            </w:tcBorders>
            <w:vAlign w:val="center"/>
          </w:tcPr>
          <w:p w14:paraId="13B7658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4套</w:t>
            </w:r>
          </w:p>
        </w:tc>
      </w:tr>
      <w:tr w14:paraId="3267F3CF">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793E826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7</w:t>
            </w:r>
          </w:p>
        </w:tc>
        <w:tc>
          <w:tcPr>
            <w:tcW w:w="4406" w:type="dxa"/>
            <w:tcBorders>
              <w:top w:val="single" w:color="000000" w:sz="4" w:space="0"/>
              <w:left w:val="single" w:color="000000" w:sz="4" w:space="0"/>
              <w:bottom w:val="single" w:color="000000" w:sz="4" w:space="0"/>
              <w:right w:val="single" w:color="000000" w:sz="4" w:space="0"/>
            </w:tcBorders>
            <w:vAlign w:val="center"/>
          </w:tcPr>
          <w:p w14:paraId="6E1E4F5C">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全自动粪便分析系统    </w:t>
            </w:r>
          </w:p>
        </w:tc>
        <w:tc>
          <w:tcPr>
            <w:tcW w:w="2684" w:type="dxa"/>
            <w:tcBorders>
              <w:top w:val="single" w:color="000000" w:sz="4" w:space="0"/>
              <w:left w:val="single" w:color="000000" w:sz="4" w:space="0"/>
              <w:bottom w:val="single" w:color="000000" w:sz="4" w:space="0"/>
              <w:right w:val="single" w:color="000000" w:sz="4" w:space="0"/>
            </w:tcBorders>
            <w:vAlign w:val="center"/>
          </w:tcPr>
          <w:p w14:paraId="1BD76C71">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4套</w:t>
            </w:r>
          </w:p>
        </w:tc>
      </w:tr>
      <w:tr w14:paraId="287838B6">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59010DF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8</w:t>
            </w:r>
          </w:p>
        </w:tc>
        <w:tc>
          <w:tcPr>
            <w:tcW w:w="4406" w:type="dxa"/>
            <w:tcBorders>
              <w:top w:val="single" w:color="000000" w:sz="4" w:space="0"/>
              <w:left w:val="single" w:color="000000" w:sz="4" w:space="0"/>
              <w:bottom w:val="single" w:color="000000" w:sz="4" w:space="0"/>
              <w:right w:val="single" w:color="000000" w:sz="4" w:space="0"/>
            </w:tcBorders>
            <w:vAlign w:val="center"/>
          </w:tcPr>
          <w:p w14:paraId="188268D2">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微生物样本前处理       </w:t>
            </w:r>
          </w:p>
        </w:tc>
        <w:tc>
          <w:tcPr>
            <w:tcW w:w="2684" w:type="dxa"/>
            <w:tcBorders>
              <w:top w:val="single" w:color="000000" w:sz="4" w:space="0"/>
              <w:left w:val="single" w:color="000000" w:sz="4" w:space="0"/>
              <w:bottom w:val="single" w:color="000000" w:sz="4" w:space="0"/>
              <w:right w:val="single" w:color="000000" w:sz="4" w:space="0"/>
            </w:tcBorders>
            <w:vAlign w:val="center"/>
          </w:tcPr>
          <w:p w14:paraId="5DFC05D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1台</w:t>
            </w:r>
          </w:p>
        </w:tc>
      </w:tr>
      <w:tr w14:paraId="021D8DEA">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2724556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9</w:t>
            </w:r>
          </w:p>
        </w:tc>
        <w:tc>
          <w:tcPr>
            <w:tcW w:w="4406" w:type="dxa"/>
            <w:tcBorders>
              <w:top w:val="single" w:color="000000" w:sz="4" w:space="0"/>
              <w:left w:val="single" w:color="000000" w:sz="4" w:space="0"/>
              <w:bottom w:val="single" w:color="000000" w:sz="4" w:space="0"/>
              <w:right w:val="single" w:color="000000" w:sz="4" w:space="0"/>
            </w:tcBorders>
            <w:vAlign w:val="center"/>
          </w:tcPr>
          <w:p w14:paraId="37ED9F4C">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全自动细菌分枝杆菌培养监测系统   </w:t>
            </w:r>
          </w:p>
        </w:tc>
        <w:tc>
          <w:tcPr>
            <w:tcW w:w="2684" w:type="dxa"/>
            <w:tcBorders>
              <w:top w:val="single" w:color="000000" w:sz="4" w:space="0"/>
              <w:left w:val="single" w:color="000000" w:sz="4" w:space="0"/>
              <w:bottom w:val="single" w:color="000000" w:sz="4" w:space="0"/>
              <w:right w:val="single" w:color="000000" w:sz="4" w:space="0"/>
            </w:tcBorders>
            <w:vAlign w:val="center"/>
          </w:tcPr>
          <w:p w14:paraId="3204EDA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1台</w:t>
            </w:r>
          </w:p>
        </w:tc>
      </w:tr>
      <w:tr w14:paraId="60AAB240">
        <w:tblPrEx>
          <w:tblCellMar>
            <w:top w:w="0" w:type="dxa"/>
            <w:left w:w="108" w:type="dxa"/>
            <w:bottom w:w="0" w:type="dxa"/>
            <w:right w:w="108" w:type="dxa"/>
          </w:tblCellMar>
        </w:tblPrEx>
        <w:trPr>
          <w:trHeight w:val="321"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42D9FB9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10</w:t>
            </w:r>
          </w:p>
        </w:tc>
        <w:tc>
          <w:tcPr>
            <w:tcW w:w="4406" w:type="dxa"/>
            <w:tcBorders>
              <w:top w:val="single" w:color="000000" w:sz="4" w:space="0"/>
              <w:left w:val="single" w:color="000000" w:sz="4" w:space="0"/>
              <w:bottom w:val="single" w:color="000000" w:sz="4" w:space="0"/>
              <w:right w:val="single" w:color="000000" w:sz="4" w:space="0"/>
            </w:tcBorders>
            <w:vAlign w:val="center"/>
          </w:tcPr>
          <w:p w14:paraId="3F9672F4">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全自动微生物鉴定及药敏分析系统    </w:t>
            </w:r>
          </w:p>
        </w:tc>
        <w:tc>
          <w:tcPr>
            <w:tcW w:w="2684" w:type="dxa"/>
            <w:tcBorders>
              <w:top w:val="single" w:color="000000" w:sz="4" w:space="0"/>
              <w:left w:val="single" w:color="000000" w:sz="4" w:space="0"/>
              <w:bottom w:val="single" w:color="000000" w:sz="4" w:space="0"/>
              <w:right w:val="single" w:color="000000" w:sz="4" w:space="0"/>
            </w:tcBorders>
            <w:vAlign w:val="center"/>
          </w:tcPr>
          <w:p w14:paraId="09C4DEF9">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1台</w:t>
            </w:r>
          </w:p>
        </w:tc>
      </w:tr>
      <w:tr w14:paraId="332595C8">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0F85192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11</w:t>
            </w:r>
          </w:p>
        </w:tc>
        <w:tc>
          <w:tcPr>
            <w:tcW w:w="4406" w:type="dxa"/>
            <w:tcBorders>
              <w:top w:val="single" w:color="000000" w:sz="4" w:space="0"/>
              <w:left w:val="single" w:color="000000" w:sz="4" w:space="0"/>
              <w:bottom w:val="single" w:color="000000" w:sz="4" w:space="0"/>
              <w:right w:val="single" w:color="000000" w:sz="4" w:space="0"/>
            </w:tcBorders>
            <w:vAlign w:val="center"/>
          </w:tcPr>
          <w:p w14:paraId="00225665">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全自动快速生物质谱检测系统         </w:t>
            </w:r>
          </w:p>
        </w:tc>
        <w:tc>
          <w:tcPr>
            <w:tcW w:w="2684" w:type="dxa"/>
            <w:tcBorders>
              <w:top w:val="single" w:color="000000" w:sz="4" w:space="0"/>
              <w:left w:val="single" w:color="000000" w:sz="4" w:space="0"/>
              <w:bottom w:val="single" w:color="000000" w:sz="4" w:space="0"/>
              <w:right w:val="single" w:color="000000" w:sz="4" w:space="0"/>
            </w:tcBorders>
            <w:vAlign w:val="center"/>
          </w:tcPr>
          <w:p w14:paraId="40590BC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1台</w:t>
            </w:r>
          </w:p>
        </w:tc>
      </w:tr>
      <w:tr w14:paraId="475C1639">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43EFDC4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12</w:t>
            </w:r>
          </w:p>
        </w:tc>
        <w:tc>
          <w:tcPr>
            <w:tcW w:w="4406" w:type="dxa"/>
            <w:tcBorders>
              <w:top w:val="single" w:color="000000" w:sz="4" w:space="0"/>
              <w:left w:val="single" w:color="000000" w:sz="4" w:space="0"/>
              <w:bottom w:val="single" w:color="000000" w:sz="4" w:space="0"/>
              <w:right w:val="single" w:color="000000" w:sz="4" w:space="0"/>
            </w:tcBorders>
            <w:vAlign w:val="center"/>
          </w:tcPr>
          <w:p w14:paraId="63E208E6">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质谱加样系统           </w:t>
            </w:r>
          </w:p>
        </w:tc>
        <w:tc>
          <w:tcPr>
            <w:tcW w:w="2684" w:type="dxa"/>
            <w:tcBorders>
              <w:top w:val="single" w:color="000000" w:sz="4" w:space="0"/>
              <w:left w:val="single" w:color="000000" w:sz="4" w:space="0"/>
              <w:bottom w:val="single" w:color="000000" w:sz="4" w:space="0"/>
              <w:right w:val="single" w:color="000000" w:sz="4" w:space="0"/>
            </w:tcBorders>
            <w:vAlign w:val="center"/>
          </w:tcPr>
          <w:p w14:paraId="717C447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1台</w:t>
            </w:r>
          </w:p>
        </w:tc>
      </w:tr>
      <w:tr w14:paraId="30E09212">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32CD662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13</w:t>
            </w:r>
          </w:p>
        </w:tc>
        <w:tc>
          <w:tcPr>
            <w:tcW w:w="4406" w:type="dxa"/>
            <w:tcBorders>
              <w:top w:val="single" w:color="000000" w:sz="4" w:space="0"/>
              <w:left w:val="single" w:color="000000" w:sz="4" w:space="0"/>
              <w:bottom w:val="single" w:color="000000" w:sz="4" w:space="0"/>
              <w:right w:val="single" w:color="000000" w:sz="4" w:space="0"/>
            </w:tcBorders>
            <w:vAlign w:val="center"/>
          </w:tcPr>
          <w:p w14:paraId="0CD46054">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全自动分子诊断系统    </w:t>
            </w:r>
          </w:p>
        </w:tc>
        <w:tc>
          <w:tcPr>
            <w:tcW w:w="2684" w:type="dxa"/>
            <w:tcBorders>
              <w:top w:val="single" w:color="000000" w:sz="4" w:space="0"/>
              <w:left w:val="single" w:color="000000" w:sz="4" w:space="0"/>
              <w:bottom w:val="single" w:color="000000" w:sz="4" w:space="0"/>
              <w:right w:val="single" w:color="000000" w:sz="4" w:space="0"/>
            </w:tcBorders>
            <w:vAlign w:val="center"/>
          </w:tcPr>
          <w:p w14:paraId="4A80238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1套</w:t>
            </w:r>
          </w:p>
        </w:tc>
      </w:tr>
      <w:tr w14:paraId="2B22E333">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325078B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14</w:t>
            </w:r>
          </w:p>
        </w:tc>
        <w:tc>
          <w:tcPr>
            <w:tcW w:w="4406" w:type="dxa"/>
            <w:tcBorders>
              <w:top w:val="single" w:color="000000" w:sz="4" w:space="0"/>
              <w:left w:val="single" w:color="000000" w:sz="4" w:space="0"/>
              <w:bottom w:val="single" w:color="000000" w:sz="4" w:space="0"/>
              <w:right w:val="single" w:color="000000" w:sz="4" w:space="0"/>
            </w:tcBorders>
            <w:vAlign w:val="center"/>
          </w:tcPr>
          <w:p w14:paraId="54338C1F">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全自动血气分析仪       </w:t>
            </w:r>
          </w:p>
        </w:tc>
        <w:tc>
          <w:tcPr>
            <w:tcW w:w="2684" w:type="dxa"/>
            <w:tcBorders>
              <w:top w:val="single" w:color="000000" w:sz="4" w:space="0"/>
              <w:left w:val="single" w:color="000000" w:sz="4" w:space="0"/>
              <w:bottom w:val="single" w:color="000000" w:sz="4" w:space="0"/>
              <w:right w:val="single" w:color="000000" w:sz="4" w:space="0"/>
            </w:tcBorders>
            <w:vAlign w:val="center"/>
          </w:tcPr>
          <w:p w14:paraId="58936F5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8台</w:t>
            </w:r>
          </w:p>
        </w:tc>
      </w:tr>
      <w:tr w14:paraId="763AB4A1">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7472F4C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15</w:t>
            </w:r>
          </w:p>
        </w:tc>
        <w:tc>
          <w:tcPr>
            <w:tcW w:w="4406" w:type="dxa"/>
            <w:tcBorders>
              <w:top w:val="single" w:color="000000" w:sz="4" w:space="0"/>
              <w:left w:val="single" w:color="000000" w:sz="4" w:space="0"/>
              <w:bottom w:val="single" w:color="000000" w:sz="4" w:space="0"/>
              <w:right w:val="single" w:color="000000" w:sz="4" w:space="0"/>
            </w:tcBorders>
            <w:vAlign w:val="center"/>
          </w:tcPr>
          <w:p w14:paraId="7924E9DA">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全自动流式细胞仪      </w:t>
            </w:r>
          </w:p>
        </w:tc>
        <w:tc>
          <w:tcPr>
            <w:tcW w:w="2684" w:type="dxa"/>
            <w:tcBorders>
              <w:top w:val="single" w:color="000000" w:sz="4" w:space="0"/>
              <w:left w:val="single" w:color="000000" w:sz="4" w:space="0"/>
              <w:bottom w:val="single" w:color="000000" w:sz="4" w:space="0"/>
              <w:right w:val="single" w:color="000000" w:sz="4" w:space="0"/>
            </w:tcBorders>
            <w:vAlign w:val="center"/>
          </w:tcPr>
          <w:p w14:paraId="182C4AB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2台</w:t>
            </w:r>
          </w:p>
        </w:tc>
      </w:tr>
      <w:tr w14:paraId="399319D9">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45306B2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16</w:t>
            </w:r>
          </w:p>
        </w:tc>
        <w:tc>
          <w:tcPr>
            <w:tcW w:w="4406" w:type="dxa"/>
            <w:tcBorders>
              <w:top w:val="single" w:color="000000" w:sz="4" w:space="0"/>
              <w:left w:val="single" w:color="000000" w:sz="4" w:space="0"/>
              <w:bottom w:val="single" w:color="000000" w:sz="4" w:space="0"/>
              <w:right w:val="single" w:color="000000" w:sz="4" w:space="0"/>
            </w:tcBorders>
            <w:vAlign w:val="center"/>
          </w:tcPr>
          <w:p w14:paraId="6D8B1838">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全自动血型分析仪      </w:t>
            </w:r>
          </w:p>
        </w:tc>
        <w:tc>
          <w:tcPr>
            <w:tcW w:w="2684" w:type="dxa"/>
            <w:tcBorders>
              <w:top w:val="single" w:color="000000" w:sz="4" w:space="0"/>
              <w:left w:val="single" w:color="000000" w:sz="4" w:space="0"/>
              <w:bottom w:val="single" w:color="000000" w:sz="4" w:space="0"/>
              <w:right w:val="single" w:color="000000" w:sz="4" w:space="0"/>
            </w:tcBorders>
            <w:vAlign w:val="center"/>
          </w:tcPr>
          <w:p w14:paraId="0C2D1BE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4台</w:t>
            </w:r>
          </w:p>
        </w:tc>
      </w:tr>
      <w:tr w14:paraId="38E78732">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5B53598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17</w:t>
            </w:r>
          </w:p>
        </w:tc>
        <w:tc>
          <w:tcPr>
            <w:tcW w:w="4406" w:type="dxa"/>
            <w:tcBorders>
              <w:top w:val="single" w:color="000000" w:sz="4" w:space="0"/>
              <w:left w:val="single" w:color="000000" w:sz="4" w:space="0"/>
              <w:bottom w:val="single" w:color="000000" w:sz="4" w:space="0"/>
              <w:right w:val="single" w:color="000000" w:sz="4" w:space="0"/>
            </w:tcBorders>
            <w:vAlign w:val="center"/>
          </w:tcPr>
          <w:p w14:paraId="279E2C4B">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全自动免疫印迹分析仪      </w:t>
            </w:r>
          </w:p>
        </w:tc>
        <w:tc>
          <w:tcPr>
            <w:tcW w:w="2684" w:type="dxa"/>
            <w:tcBorders>
              <w:top w:val="single" w:color="000000" w:sz="4" w:space="0"/>
              <w:left w:val="single" w:color="000000" w:sz="4" w:space="0"/>
              <w:bottom w:val="single" w:color="000000" w:sz="4" w:space="0"/>
              <w:right w:val="single" w:color="000000" w:sz="4" w:space="0"/>
            </w:tcBorders>
            <w:vAlign w:val="center"/>
          </w:tcPr>
          <w:p w14:paraId="7A15FF13">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1台</w:t>
            </w:r>
          </w:p>
        </w:tc>
      </w:tr>
      <w:tr w14:paraId="2968508E">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253A566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18</w:t>
            </w:r>
          </w:p>
        </w:tc>
        <w:tc>
          <w:tcPr>
            <w:tcW w:w="4406" w:type="dxa"/>
            <w:tcBorders>
              <w:top w:val="single" w:color="000000" w:sz="4" w:space="0"/>
              <w:left w:val="single" w:color="000000" w:sz="4" w:space="0"/>
              <w:bottom w:val="single" w:color="000000" w:sz="4" w:space="0"/>
              <w:right w:val="single" w:color="000000" w:sz="4" w:space="0"/>
            </w:tcBorders>
            <w:vAlign w:val="center"/>
          </w:tcPr>
          <w:p w14:paraId="4A1204C3">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 xml:space="preserve">智能冷库（含试剂、样本，需物理隔离）     </w:t>
            </w:r>
          </w:p>
        </w:tc>
        <w:tc>
          <w:tcPr>
            <w:tcW w:w="2684" w:type="dxa"/>
            <w:tcBorders>
              <w:top w:val="single" w:color="000000" w:sz="4" w:space="0"/>
              <w:left w:val="single" w:color="000000" w:sz="4" w:space="0"/>
              <w:bottom w:val="single" w:color="000000" w:sz="4" w:space="0"/>
              <w:right w:val="single" w:color="000000" w:sz="4" w:space="0"/>
            </w:tcBorders>
            <w:vAlign w:val="center"/>
          </w:tcPr>
          <w:p w14:paraId="304D880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1套</w:t>
            </w:r>
          </w:p>
        </w:tc>
      </w:tr>
      <w:tr w14:paraId="537E2068">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21E73386">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19</w:t>
            </w:r>
          </w:p>
        </w:tc>
        <w:tc>
          <w:tcPr>
            <w:tcW w:w="4406" w:type="dxa"/>
            <w:tcBorders>
              <w:top w:val="single" w:color="000000" w:sz="4" w:space="0"/>
              <w:left w:val="single" w:color="000000" w:sz="4" w:space="0"/>
              <w:bottom w:val="single" w:color="000000" w:sz="4" w:space="0"/>
              <w:right w:val="single" w:color="000000" w:sz="4" w:space="0"/>
            </w:tcBorders>
            <w:vAlign w:val="center"/>
          </w:tcPr>
          <w:p w14:paraId="3DB070A6">
            <w:pPr>
              <w:spacing w:line="360" w:lineRule="auto"/>
              <w:jc w:val="both"/>
              <w:rPr>
                <w:rFonts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算力服务器</w:t>
            </w:r>
          </w:p>
        </w:tc>
        <w:tc>
          <w:tcPr>
            <w:tcW w:w="2684" w:type="dxa"/>
            <w:tcBorders>
              <w:top w:val="single" w:color="000000" w:sz="4" w:space="0"/>
              <w:left w:val="single" w:color="000000" w:sz="4" w:space="0"/>
              <w:bottom w:val="single" w:color="000000" w:sz="4" w:space="0"/>
              <w:right w:val="single" w:color="000000" w:sz="4" w:space="0"/>
            </w:tcBorders>
            <w:vAlign w:val="center"/>
          </w:tcPr>
          <w:p w14:paraId="34DE696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1批（需符合智慧化实验室算力配置要求）</w:t>
            </w:r>
          </w:p>
        </w:tc>
      </w:tr>
      <w:tr w14:paraId="5B5EC831">
        <w:tblPrEx>
          <w:tblCellMar>
            <w:top w:w="0" w:type="dxa"/>
            <w:left w:w="108" w:type="dxa"/>
            <w:bottom w:w="0" w:type="dxa"/>
            <w:right w:w="108" w:type="dxa"/>
          </w:tblCellMar>
        </w:tblPrEx>
        <w:trPr>
          <w:trHeight w:val="333" w:hRule="atLeast"/>
          <w:jc w:val="cent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28AE120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20</w:t>
            </w:r>
          </w:p>
        </w:tc>
        <w:tc>
          <w:tcPr>
            <w:tcW w:w="4406" w:type="dxa"/>
            <w:tcBorders>
              <w:top w:val="single" w:color="000000" w:sz="4" w:space="0"/>
              <w:left w:val="single" w:color="000000" w:sz="4" w:space="0"/>
              <w:bottom w:val="single" w:color="000000" w:sz="4" w:space="0"/>
              <w:right w:val="single" w:color="000000" w:sz="4" w:space="0"/>
            </w:tcBorders>
            <w:vAlign w:val="center"/>
          </w:tcPr>
          <w:p w14:paraId="38F6144C">
            <w:pPr>
              <w:spacing w:line="360" w:lineRule="auto"/>
              <w:jc w:val="both"/>
              <w:rPr>
                <w:rFonts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全自动采血机器人</w:t>
            </w:r>
          </w:p>
        </w:tc>
        <w:tc>
          <w:tcPr>
            <w:tcW w:w="2684" w:type="dxa"/>
            <w:tcBorders>
              <w:top w:val="single" w:color="000000" w:sz="4" w:space="0"/>
              <w:left w:val="single" w:color="000000" w:sz="4" w:space="0"/>
              <w:bottom w:val="single" w:color="000000" w:sz="4" w:space="0"/>
              <w:right w:val="single" w:color="000000" w:sz="4" w:space="0"/>
            </w:tcBorders>
            <w:vAlign w:val="center"/>
          </w:tcPr>
          <w:p w14:paraId="5375703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1批</w:t>
            </w:r>
          </w:p>
        </w:tc>
      </w:tr>
    </w:tbl>
    <w:p w14:paraId="5E32F450">
      <w:pPr>
        <w:spacing w:line="360" w:lineRule="auto"/>
        <w:jc w:val="both"/>
        <w:rPr>
          <w:rFonts w:ascii="微软雅黑" w:hAnsi="微软雅黑" w:eastAsia="微软雅黑" w:cs="微软雅黑"/>
          <w:color w:val="auto"/>
          <w:sz w:val="24"/>
        </w:rPr>
      </w:pPr>
    </w:p>
    <w:p w14:paraId="63D38C35">
      <w:pPr>
        <w:spacing w:line="360" w:lineRule="auto"/>
        <w:jc w:val="both"/>
        <w:outlineLvl w:val="1"/>
        <w:rPr>
          <w:rFonts w:ascii="微软雅黑" w:hAnsi="微软雅黑" w:eastAsia="微软雅黑" w:cs="微软雅黑"/>
          <w:color w:val="auto"/>
          <w:sz w:val="24"/>
        </w:rPr>
      </w:pPr>
      <w:r>
        <w:rPr>
          <w:rFonts w:hint="eastAsia" w:ascii="微软雅黑" w:hAnsi="微软雅黑" w:eastAsia="微软雅黑" w:cs="微软雅黑"/>
          <w:color w:val="auto"/>
          <w:sz w:val="24"/>
        </w:rPr>
        <w:t>二、</w:t>
      </w:r>
      <w:r>
        <w:rPr>
          <w:rFonts w:hint="eastAsia" w:ascii="微软雅黑" w:hAnsi="微软雅黑" w:eastAsia="微软雅黑" w:cs="微软雅黑"/>
          <w:b/>
          <w:color w:val="auto"/>
          <w:sz w:val="24"/>
        </w:rPr>
        <w:t>技术参数要求</w:t>
      </w:r>
      <w:r>
        <w:rPr>
          <w:rFonts w:hint="eastAsia" w:ascii="微软雅黑" w:hAnsi="微软雅黑" w:eastAsia="微软雅黑" w:cs="微软雅黑"/>
          <w:color w:val="auto"/>
          <w:sz w:val="24"/>
        </w:rPr>
        <w:t>：</w:t>
      </w:r>
    </w:p>
    <w:tbl>
      <w:tblPr>
        <w:tblStyle w:val="14"/>
        <w:tblW w:w="8520" w:type="dxa"/>
        <w:tblInd w:w="88" w:type="dxa"/>
        <w:tblLayout w:type="fixed"/>
        <w:tblCellMar>
          <w:top w:w="0" w:type="dxa"/>
          <w:left w:w="108" w:type="dxa"/>
          <w:bottom w:w="0" w:type="dxa"/>
          <w:right w:w="108" w:type="dxa"/>
        </w:tblCellMar>
      </w:tblPr>
      <w:tblGrid>
        <w:gridCol w:w="1041"/>
        <w:gridCol w:w="7479"/>
      </w:tblGrid>
      <w:tr w14:paraId="1B9478F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5B6C3B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序号</w:t>
            </w:r>
          </w:p>
        </w:tc>
        <w:tc>
          <w:tcPr>
            <w:tcW w:w="7479" w:type="dxa"/>
            <w:tcBorders>
              <w:top w:val="single" w:color="000000" w:sz="4" w:space="0"/>
              <w:left w:val="single" w:color="000000" w:sz="4" w:space="0"/>
              <w:bottom w:val="single" w:color="000000" w:sz="4" w:space="0"/>
              <w:right w:val="single" w:color="000000" w:sz="4" w:space="0"/>
            </w:tcBorders>
            <w:vAlign w:val="center"/>
          </w:tcPr>
          <w:p w14:paraId="0F7F23FE">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内容及要求</w:t>
            </w:r>
          </w:p>
        </w:tc>
      </w:tr>
      <w:tr w14:paraId="3D121C7C">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9F0EC8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（一）</w:t>
            </w:r>
          </w:p>
        </w:tc>
        <w:tc>
          <w:tcPr>
            <w:tcW w:w="7479" w:type="dxa"/>
            <w:tcBorders>
              <w:top w:val="single" w:color="000000" w:sz="4" w:space="0"/>
              <w:left w:val="single" w:color="000000" w:sz="4" w:space="0"/>
              <w:bottom w:val="single" w:color="000000" w:sz="4" w:space="0"/>
              <w:right w:val="single" w:color="000000" w:sz="4" w:space="0"/>
            </w:tcBorders>
            <w:vAlign w:val="center"/>
          </w:tcPr>
          <w:p w14:paraId="1AAEC04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总体要求</w:t>
            </w:r>
          </w:p>
        </w:tc>
      </w:tr>
      <w:tr w14:paraId="3CDD0170">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7ADB9497">
            <w:pPr>
              <w:spacing w:line="360" w:lineRule="auto"/>
              <w:jc w:val="both"/>
              <w:rPr>
                <w:rFonts w:ascii="微软雅黑" w:hAnsi="微软雅黑" w:eastAsia="微软雅黑" w:cs="微软雅黑"/>
                <w:color w:val="auto"/>
                <w:kern w:val="0"/>
                <w:sz w:val="24"/>
                <w:lang w:bidi="ar"/>
              </w:rPr>
            </w:pPr>
            <w:r>
              <w:rPr>
                <w:rFonts w:hint="eastAsia" w:ascii="微软雅黑" w:hAnsi="微软雅黑" w:eastAsia="微软雅黑" w:cs="微软雅黑"/>
                <w:color w:val="auto"/>
                <w:kern w:val="0"/>
                <w:sz w:val="24"/>
                <w:lang w:bidi="ar"/>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54E05300">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智慧化整体方案：提供检验设备、信息化系统、人工智能深度融合的智慧实验室整体解决方案，全面支撑检验科无人值守、全自动运行、智能化管理建设需求。</w:t>
            </w:r>
          </w:p>
        </w:tc>
      </w:tr>
      <w:tr w14:paraId="0EBDB96D">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58D08BF">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0E953FD0">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适用范围：智慧化实验室所需所有设备及附件，并包括达到智慧化功能要求的相应软硬件、算力及环境等配置，提供配置清单。</w:t>
            </w:r>
          </w:p>
        </w:tc>
      </w:tr>
      <w:tr w14:paraId="4A6FCE7A">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F7F3A2E">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3</w:t>
            </w:r>
          </w:p>
        </w:tc>
        <w:tc>
          <w:tcPr>
            <w:tcW w:w="7479" w:type="dxa"/>
            <w:tcBorders>
              <w:top w:val="single" w:color="000000" w:sz="4" w:space="0"/>
              <w:left w:val="single" w:color="000000" w:sz="4" w:space="0"/>
              <w:bottom w:val="single" w:color="000000" w:sz="4" w:space="0"/>
              <w:right w:val="single" w:color="000000" w:sz="4" w:space="0"/>
            </w:tcBorders>
            <w:vAlign w:val="center"/>
          </w:tcPr>
          <w:p w14:paraId="6EE7B74C">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优化多院区检验资源配置，实行集约化、智慧化集中检测模式：依托富阳院区建成集自动化流水线、全流程智能管控于一体的区域智慧检验中心，统筹承接全院全部平诊检验标本；其余院区设置急诊快速检验功能，所有急诊检测项目严格执行 2 小时内出报告时效标准，兼顾集中运营效率与时效性需求。</w:t>
            </w:r>
          </w:p>
        </w:tc>
      </w:tr>
      <w:tr w14:paraId="3529335A">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E50FF81">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sz w:val="24"/>
              </w:rPr>
              <w:t>4</w:t>
            </w:r>
          </w:p>
        </w:tc>
        <w:tc>
          <w:tcPr>
            <w:tcW w:w="7479" w:type="dxa"/>
            <w:tcBorders>
              <w:top w:val="single" w:color="000000" w:sz="4" w:space="0"/>
              <w:left w:val="single" w:color="000000" w:sz="4" w:space="0"/>
              <w:bottom w:val="single" w:color="000000" w:sz="4" w:space="0"/>
              <w:right w:val="single" w:color="000000" w:sz="4" w:space="0"/>
            </w:tcBorders>
            <w:vAlign w:val="center"/>
          </w:tcPr>
          <w:p w14:paraId="4466C1E4">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升级服务：保证提供高性能系统硬件配置，高版本的系统应用平台，并在产品使用期内提供升级服务，升级产生的费用由中标供应商承担。</w:t>
            </w:r>
          </w:p>
        </w:tc>
      </w:tr>
      <w:tr w14:paraId="50936BC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8A3D04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sz w:val="24"/>
              </w:rPr>
              <w:t>5</w:t>
            </w:r>
          </w:p>
        </w:tc>
        <w:tc>
          <w:tcPr>
            <w:tcW w:w="7479" w:type="dxa"/>
            <w:tcBorders>
              <w:top w:val="single" w:color="000000" w:sz="4" w:space="0"/>
              <w:left w:val="single" w:color="000000" w:sz="4" w:space="0"/>
              <w:bottom w:val="single" w:color="000000" w:sz="4" w:space="0"/>
              <w:right w:val="single" w:color="000000" w:sz="4" w:space="0"/>
            </w:tcBorders>
            <w:vAlign w:val="center"/>
          </w:tcPr>
          <w:p w14:paraId="0F79D956">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数据接口：设备开放数据接口，</w:t>
            </w:r>
            <w:r>
              <w:rPr>
                <w:rFonts w:ascii="微软雅黑" w:hAnsi="微软雅黑" w:eastAsia="微软雅黑" w:cs="微软雅黑"/>
                <w:color w:val="auto"/>
                <w:sz w:val="24"/>
              </w:rPr>
              <w:t>支持HL7、FHIR、WebService、REST API、HTTP、HTTPS、Socket等标准接口</w:t>
            </w:r>
            <w:r>
              <w:rPr>
                <w:rFonts w:hint="eastAsia" w:ascii="微软雅黑" w:hAnsi="微软雅黑" w:eastAsia="微软雅黑" w:cs="微软雅黑"/>
                <w:color w:val="auto"/>
                <w:sz w:val="24"/>
              </w:rPr>
              <w:t>,负责与医院信息系统的互连，互连产生的费用由中标供应商承担,</w:t>
            </w:r>
            <w:r>
              <w:rPr>
                <w:rFonts w:hint="eastAsia"/>
                <w:color w:val="auto"/>
              </w:rPr>
              <w:t xml:space="preserve"> </w:t>
            </w:r>
            <w:r>
              <w:rPr>
                <w:rFonts w:ascii="微软雅黑" w:hAnsi="微软雅黑" w:eastAsia="微软雅黑" w:cs="微软雅黑"/>
                <w:color w:val="auto"/>
                <w:sz w:val="24"/>
              </w:rPr>
              <w:t>并提供完整接口文档</w:t>
            </w:r>
            <w:r>
              <w:rPr>
                <w:rFonts w:hint="eastAsia" w:ascii="微软雅黑" w:hAnsi="微软雅黑" w:eastAsia="微软雅黑" w:cs="微软雅黑"/>
                <w:color w:val="auto"/>
                <w:sz w:val="24"/>
              </w:rPr>
              <w:t>。</w:t>
            </w:r>
          </w:p>
        </w:tc>
      </w:tr>
      <w:tr w14:paraId="636AD8D5">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2A71F49">
            <w:pPr>
              <w:spacing w:line="360" w:lineRule="auto"/>
              <w:jc w:val="both"/>
              <w:rPr>
                <w:rFonts w:hint="eastAsia" w:ascii="微软雅黑" w:hAnsi="微软雅黑" w:eastAsia="微软雅黑" w:cs="微软雅黑"/>
                <w:color w:val="auto"/>
                <w:kern w:val="0"/>
                <w:sz w:val="24"/>
                <w:lang w:eastAsia="zh-CN"/>
              </w:rPr>
            </w:pPr>
            <w:r>
              <w:rPr>
                <w:rFonts w:hint="eastAsia" w:ascii="微软雅黑" w:hAnsi="微软雅黑" w:eastAsia="微软雅黑" w:cs="微软雅黑"/>
                <w:color w:val="auto"/>
                <w:kern w:val="0"/>
                <w:sz w:val="24"/>
                <w:lang w:val="en-US" w:eastAsia="zh-CN"/>
              </w:rPr>
              <w:t>6</w:t>
            </w:r>
          </w:p>
        </w:tc>
        <w:tc>
          <w:tcPr>
            <w:tcW w:w="7479" w:type="dxa"/>
            <w:tcBorders>
              <w:top w:val="single" w:color="000000" w:sz="4" w:space="0"/>
              <w:left w:val="single" w:color="000000" w:sz="4" w:space="0"/>
              <w:bottom w:val="single" w:color="000000" w:sz="4" w:space="0"/>
              <w:right w:val="single" w:color="000000" w:sz="4" w:space="0"/>
            </w:tcBorders>
            <w:vAlign w:val="center"/>
          </w:tcPr>
          <w:p w14:paraId="70681141">
            <w:pPr>
              <w:spacing w:line="360" w:lineRule="auto"/>
              <w:jc w:val="both"/>
              <w:rPr>
                <w:rFonts w:ascii="微软雅黑" w:hAnsi="微软雅黑" w:eastAsia="微软雅黑" w:cs="微软雅黑"/>
                <w:color w:val="auto"/>
                <w:sz w:val="24"/>
              </w:rPr>
            </w:pPr>
            <w:r>
              <w:rPr>
                <w:rFonts w:hint="eastAsia" w:ascii="微软雅黑" w:hAnsi="微软雅黑" w:eastAsia="微软雅黑" w:cs="微软雅黑"/>
                <w:color w:val="auto"/>
                <w:sz w:val="24"/>
              </w:rPr>
              <w:t>人工兜底保障业务连续性措施：针对流水线及智能体故障制定专项应急处置方案，建立由轻微问题至重大事故的分级响应体系，明确供应商分时限、分级别的响应要求，落实人工兜底等保障业务连续运转的相关安排。</w:t>
            </w:r>
            <w:r>
              <w:rPr>
                <w:rFonts w:ascii="微软雅黑" w:hAnsi="微软雅黑" w:eastAsia="微软雅黑" w:cs="微软雅黑"/>
                <w:color w:val="auto"/>
                <w:sz w:val="24"/>
              </w:rPr>
              <w:t>信息系统应具备高可用和业务连续性保障能力，支持关键业务故障自动告警、异常恢复及数据备份恢复机制。当AI应用、算力平台或相关信息系统发生故障时，不得影响实验室核心检验业务正常开展，应支持切换至人工审核或常规业务模式，保障检验业务连续运行。</w:t>
            </w:r>
          </w:p>
        </w:tc>
      </w:tr>
      <w:tr w14:paraId="7BB552E8">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50D44B7">
            <w:pPr>
              <w:spacing w:line="360" w:lineRule="auto"/>
              <w:jc w:val="both"/>
              <w:rPr>
                <w:rFonts w:ascii="微软雅黑" w:hAnsi="微软雅黑" w:eastAsia="微软雅黑" w:cs="微软雅黑"/>
                <w:b/>
                <w:bCs/>
                <w:color w:val="auto"/>
                <w:kern w:val="0"/>
                <w:sz w:val="24"/>
              </w:rPr>
            </w:pPr>
            <w:r>
              <w:rPr>
                <w:rFonts w:hint="eastAsia" w:ascii="微软雅黑" w:hAnsi="微软雅黑" w:eastAsia="微软雅黑" w:cs="微软雅黑"/>
                <w:b/>
                <w:bCs/>
                <w:color w:val="auto"/>
                <w:kern w:val="0"/>
                <w:sz w:val="24"/>
              </w:rPr>
              <w:t>（二）</w:t>
            </w:r>
          </w:p>
        </w:tc>
        <w:tc>
          <w:tcPr>
            <w:tcW w:w="7479" w:type="dxa"/>
            <w:tcBorders>
              <w:top w:val="single" w:color="000000" w:sz="4" w:space="0"/>
              <w:left w:val="single" w:color="000000" w:sz="4" w:space="0"/>
              <w:bottom w:val="single" w:color="000000" w:sz="4" w:space="0"/>
              <w:right w:val="single" w:color="000000" w:sz="4" w:space="0"/>
            </w:tcBorders>
            <w:vAlign w:val="center"/>
          </w:tcPr>
          <w:p w14:paraId="3911D215">
            <w:pPr>
              <w:spacing w:line="360" w:lineRule="auto"/>
              <w:jc w:val="both"/>
              <w:rPr>
                <w:rFonts w:ascii="微软雅黑" w:hAnsi="微软雅黑" w:eastAsia="微软雅黑" w:cs="微软雅黑"/>
                <w:b/>
                <w:bCs/>
                <w:color w:val="auto"/>
                <w:kern w:val="0"/>
                <w:sz w:val="24"/>
              </w:rPr>
            </w:pPr>
            <w:r>
              <w:rPr>
                <w:rFonts w:hint="eastAsia" w:ascii="微软雅黑" w:hAnsi="微软雅黑" w:eastAsia="微软雅黑" w:cs="微软雅黑"/>
                <w:b/>
                <w:bCs/>
                <w:color w:val="auto"/>
                <w:kern w:val="0"/>
                <w:sz w:val="24"/>
              </w:rPr>
              <w:t>全自动生化免疫流水线  1套  （重点设备，设备清单第1项）（以下容量、处理速度要求，如无特殊说明的，均为单条流水线要求，如有单台设备要求单独列出）</w:t>
            </w:r>
          </w:p>
        </w:tc>
      </w:tr>
      <w:tr w14:paraId="2F94E492">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763A81F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3D98F251">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系统总体要求</w:t>
            </w:r>
          </w:p>
        </w:tc>
      </w:tr>
      <w:tr w14:paraId="6F1398B3">
        <w:tblPrEx>
          <w:tblCellMar>
            <w:top w:w="0" w:type="dxa"/>
            <w:left w:w="108" w:type="dxa"/>
            <w:bottom w:w="0" w:type="dxa"/>
            <w:right w:w="108" w:type="dxa"/>
          </w:tblCellMar>
        </w:tblPrEx>
        <w:trPr>
          <w:trHeight w:val="507"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7E11720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1.1</w:t>
            </w:r>
          </w:p>
        </w:tc>
        <w:tc>
          <w:tcPr>
            <w:tcW w:w="7479" w:type="dxa"/>
            <w:tcBorders>
              <w:top w:val="single" w:color="000000" w:sz="4" w:space="0"/>
              <w:left w:val="single" w:color="000000" w:sz="4" w:space="0"/>
              <w:bottom w:val="single" w:color="000000" w:sz="4" w:space="0"/>
              <w:right w:val="single" w:color="000000" w:sz="4" w:space="0"/>
            </w:tcBorders>
            <w:vAlign w:val="center"/>
          </w:tcPr>
          <w:p w14:paraId="7E50713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生化免疫流水线系统须包括全自动生化分析仪、全自动化学发光免疫分析仪、全自动样品处理系统（含进出样模块、离心模块、去盖模块、后处理（含低温储存）模块等）、分析仪连接端口、流水线轨道传输系统以及数据信息管理系统。所有功能模块均由轨道连接实现全程自动化，连接轨道需与仪器配套，并由数据信息管理系统进行统一管理和操作。</w:t>
            </w:r>
          </w:p>
        </w:tc>
      </w:tr>
      <w:tr w14:paraId="4643724A">
        <w:tblPrEx>
          <w:tblCellMar>
            <w:top w:w="0" w:type="dxa"/>
            <w:left w:w="108" w:type="dxa"/>
            <w:bottom w:w="0" w:type="dxa"/>
            <w:right w:w="108" w:type="dxa"/>
          </w:tblCellMar>
        </w:tblPrEx>
        <w:trPr>
          <w:trHeight w:val="56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DD60FE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1.2</w:t>
            </w:r>
          </w:p>
        </w:tc>
        <w:tc>
          <w:tcPr>
            <w:tcW w:w="7479" w:type="dxa"/>
            <w:tcBorders>
              <w:top w:val="single" w:color="000000" w:sz="4" w:space="0"/>
              <w:left w:val="single" w:color="000000" w:sz="4" w:space="0"/>
              <w:bottom w:val="single" w:color="000000" w:sz="4" w:space="0"/>
              <w:right w:val="single" w:color="000000" w:sz="4" w:space="0"/>
            </w:tcBorders>
            <w:vAlign w:val="center"/>
          </w:tcPr>
          <w:p w14:paraId="782BE029">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生化免疫流水线系统中，全自动生化分析仪、全自动化学发光免疫分析仪和流水线轨道传输系统应为同一品牌。全自动生化分析仪和全自动化学发光免疫分析仪应具备在仪器运行状态下实时加载试剂的功能（即不停机加载），以确保检测流程的连续性。</w:t>
            </w:r>
          </w:p>
        </w:tc>
      </w:tr>
      <w:tr w14:paraId="1942BA32">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484623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05B8AFF3">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进出样模块</w:t>
            </w:r>
          </w:p>
        </w:tc>
      </w:tr>
      <w:tr w14:paraId="4933F0E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FEDDD7E">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2.1</w:t>
            </w:r>
          </w:p>
        </w:tc>
        <w:tc>
          <w:tcPr>
            <w:tcW w:w="7479" w:type="dxa"/>
            <w:tcBorders>
              <w:top w:val="single" w:color="000000" w:sz="4" w:space="0"/>
              <w:left w:val="single" w:color="000000" w:sz="4" w:space="0"/>
              <w:bottom w:val="single" w:color="000000" w:sz="4" w:space="0"/>
              <w:right w:val="single" w:color="000000" w:sz="4" w:space="0"/>
            </w:tcBorders>
            <w:vAlign w:val="center"/>
          </w:tcPr>
          <w:p w14:paraId="5356EFA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单个架式进出样模块的样本容量≥600管/小时（不含倾倒式进样容量）</w:t>
            </w:r>
          </w:p>
        </w:tc>
      </w:tr>
      <w:tr w14:paraId="076EAE8F">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8AE43C1">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2.2</w:t>
            </w:r>
          </w:p>
        </w:tc>
        <w:tc>
          <w:tcPr>
            <w:tcW w:w="7479" w:type="dxa"/>
            <w:tcBorders>
              <w:top w:val="single" w:color="000000" w:sz="4" w:space="0"/>
              <w:left w:val="single" w:color="000000" w:sz="4" w:space="0"/>
              <w:bottom w:val="single" w:color="000000" w:sz="4" w:space="0"/>
              <w:right w:val="single" w:color="000000" w:sz="4" w:space="0"/>
            </w:tcBorders>
            <w:vAlign w:val="center"/>
          </w:tcPr>
          <w:p w14:paraId="006A41E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进出样模块的处理速度≥1000管/小时</w:t>
            </w:r>
          </w:p>
        </w:tc>
      </w:tr>
      <w:tr w14:paraId="66941B00">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C2B588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w:t>
            </w:r>
          </w:p>
        </w:tc>
        <w:tc>
          <w:tcPr>
            <w:tcW w:w="7479" w:type="dxa"/>
            <w:tcBorders>
              <w:top w:val="single" w:color="000000" w:sz="4" w:space="0"/>
              <w:left w:val="single" w:color="000000" w:sz="4" w:space="0"/>
              <w:bottom w:val="single" w:color="000000" w:sz="4" w:space="0"/>
              <w:right w:val="single" w:color="000000" w:sz="4" w:space="0"/>
            </w:tcBorders>
            <w:vAlign w:val="center"/>
          </w:tcPr>
          <w:p w14:paraId="65F0EBD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离心模块</w:t>
            </w:r>
          </w:p>
        </w:tc>
      </w:tr>
      <w:tr w14:paraId="77DB27C0">
        <w:tblPrEx>
          <w:tblCellMar>
            <w:top w:w="0" w:type="dxa"/>
            <w:left w:w="108" w:type="dxa"/>
            <w:bottom w:w="0" w:type="dxa"/>
            <w:right w:w="108" w:type="dxa"/>
          </w:tblCellMar>
        </w:tblPrEx>
        <w:trPr>
          <w:trHeight w:val="56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ADCB9E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3.1</w:t>
            </w:r>
          </w:p>
        </w:tc>
        <w:tc>
          <w:tcPr>
            <w:tcW w:w="7479" w:type="dxa"/>
            <w:tcBorders>
              <w:top w:val="single" w:color="000000" w:sz="4" w:space="0"/>
              <w:left w:val="single" w:color="000000" w:sz="4" w:space="0"/>
              <w:bottom w:val="single" w:color="000000" w:sz="4" w:space="0"/>
              <w:right w:val="single" w:color="000000" w:sz="4" w:space="0"/>
            </w:tcBorders>
            <w:vAlign w:val="center"/>
          </w:tcPr>
          <w:p w14:paraId="60D5744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总离心速度≥1400管/小时，单台离心模块速度≥350管/小时，单台离心模块单批次最大装载量≥80管，支持血清余量、血清质量拍照识别功能。</w:t>
            </w:r>
          </w:p>
        </w:tc>
      </w:tr>
      <w:tr w14:paraId="5BD7BEB7">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D90EE0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w:t>
            </w:r>
          </w:p>
        </w:tc>
        <w:tc>
          <w:tcPr>
            <w:tcW w:w="7479" w:type="dxa"/>
            <w:tcBorders>
              <w:top w:val="single" w:color="000000" w:sz="4" w:space="0"/>
              <w:left w:val="single" w:color="000000" w:sz="4" w:space="0"/>
              <w:bottom w:val="single" w:color="000000" w:sz="4" w:space="0"/>
              <w:right w:val="single" w:color="000000" w:sz="4" w:space="0"/>
            </w:tcBorders>
            <w:vAlign w:val="center"/>
          </w:tcPr>
          <w:p w14:paraId="2C08775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去盖模块</w:t>
            </w:r>
          </w:p>
        </w:tc>
      </w:tr>
      <w:tr w14:paraId="2FC2058C">
        <w:tblPrEx>
          <w:tblCellMar>
            <w:top w:w="0" w:type="dxa"/>
            <w:left w:w="108" w:type="dxa"/>
            <w:bottom w:w="0" w:type="dxa"/>
            <w:right w:w="108" w:type="dxa"/>
          </w:tblCellMar>
        </w:tblPrEx>
        <w:trPr>
          <w:trHeight w:val="56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7EBC587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4.1</w:t>
            </w:r>
          </w:p>
        </w:tc>
        <w:tc>
          <w:tcPr>
            <w:tcW w:w="7479" w:type="dxa"/>
            <w:tcBorders>
              <w:top w:val="single" w:color="000000" w:sz="4" w:space="0"/>
              <w:left w:val="single" w:color="000000" w:sz="4" w:space="0"/>
              <w:bottom w:val="single" w:color="000000" w:sz="4" w:space="0"/>
              <w:right w:val="single" w:color="000000" w:sz="4" w:space="0"/>
            </w:tcBorders>
            <w:vAlign w:val="center"/>
          </w:tcPr>
          <w:p w14:paraId="1A9A6283">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去盖模块速度≥1000管/小时，能够实现气溶胶过滤及紫外线消毒，防止生物污染。</w:t>
            </w:r>
          </w:p>
        </w:tc>
      </w:tr>
      <w:tr w14:paraId="7C2D2BC2">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15B8A0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5</w:t>
            </w:r>
          </w:p>
        </w:tc>
        <w:tc>
          <w:tcPr>
            <w:tcW w:w="7479" w:type="dxa"/>
            <w:tcBorders>
              <w:top w:val="single" w:color="000000" w:sz="4" w:space="0"/>
              <w:left w:val="single" w:color="000000" w:sz="4" w:space="0"/>
              <w:bottom w:val="single" w:color="000000" w:sz="4" w:space="0"/>
              <w:right w:val="single" w:color="000000" w:sz="4" w:space="0"/>
            </w:tcBorders>
            <w:vAlign w:val="center"/>
          </w:tcPr>
          <w:p w14:paraId="6FCBE56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后处理模块</w:t>
            </w:r>
          </w:p>
        </w:tc>
      </w:tr>
      <w:tr w14:paraId="642A3F30">
        <w:tblPrEx>
          <w:tblCellMar>
            <w:top w:w="0" w:type="dxa"/>
            <w:left w:w="108" w:type="dxa"/>
            <w:bottom w:w="0" w:type="dxa"/>
            <w:right w:w="108" w:type="dxa"/>
          </w:tblCellMar>
        </w:tblPrEx>
        <w:trPr>
          <w:trHeight w:val="56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BF4B546">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5.1</w:t>
            </w:r>
          </w:p>
        </w:tc>
        <w:tc>
          <w:tcPr>
            <w:tcW w:w="7479" w:type="dxa"/>
            <w:tcBorders>
              <w:top w:val="single" w:color="000000" w:sz="4" w:space="0"/>
              <w:left w:val="single" w:color="000000" w:sz="4" w:space="0"/>
              <w:bottom w:val="single" w:color="000000" w:sz="4" w:space="0"/>
              <w:right w:val="single" w:color="000000" w:sz="4" w:space="0"/>
            </w:tcBorders>
            <w:vAlign w:val="center"/>
          </w:tcPr>
          <w:p w14:paraId="25DB2BC1">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后处理模块冰箱容量≥20000管，冷藏储存器能够实现样本管的自动化管理，在存储满时或超过设定温度范围时能自动警报提示。</w:t>
            </w:r>
          </w:p>
        </w:tc>
      </w:tr>
      <w:tr w14:paraId="10BDEE2D">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3C6F77E">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6</w:t>
            </w:r>
          </w:p>
        </w:tc>
        <w:tc>
          <w:tcPr>
            <w:tcW w:w="7479" w:type="dxa"/>
            <w:tcBorders>
              <w:top w:val="single" w:color="000000" w:sz="4" w:space="0"/>
              <w:left w:val="single" w:color="000000" w:sz="4" w:space="0"/>
              <w:bottom w:val="single" w:color="000000" w:sz="4" w:space="0"/>
              <w:right w:val="single" w:color="000000" w:sz="4" w:space="0"/>
            </w:tcBorders>
            <w:vAlign w:val="center"/>
          </w:tcPr>
          <w:p w14:paraId="43117B8F">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轨道传输系统</w:t>
            </w:r>
          </w:p>
        </w:tc>
      </w:tr>
      <w:tr w14:paraId="77E6D639">
        <w:tblPrEx>
          <w:tblCellMar>
            <w:top w:w="0" w:type="dxa"/>
            <w:left w:w="108" w:type="dxa"/>
            <w:bottom w:w="0" w:type="dxa"/>
            <w:right w:w="108" w:type="dxa"/>
          </w:tblCellMar>
        </w:tblPrEx>
        <w:trPr>
          <w:trHeight w:val="56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166E3E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6.1</w:t>
            </w:r>
          </w:p>
        </w:tc>
        <w:tc>
          <w:tcPr>
            <w:tcW w:w="7479" w:type="dxa"/>
            <w:tcBorders>
              <w:top w:val="single" w:color="000000" w:sz="4" w:space="0"/>
              <w:left w:val="single" w:color="000000" w:sz="4" w:space="0"/>
              <w:bottom w:val="single" w:color="000000" w:sz="4" w:space="0"/>
              <w:right w:val="single" w:color="000000" w:sz="4" w:space="0"/>
            </w:tcBorders>
            <w:vAlign w:val="center"/>
          </w:tcPr>
          <w:p w14:paraId="4342E20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主体轨道通量≥4轨道，可实现急诊样本快速检测，且样品管在流水线轨道上采用单管传输，方便样本灵活调度，单轨处理速度≥2000管/小时。</w:t>
            </w:r>
          </w:p>
        </w:tc>
      </w:tr>
      <w:tr w14:paraId="0B83F04A">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DB5502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6.2</w:t>
            </w:r>
          </w:p>
        </w:tc>
        <w:tc>
          <w:tcPr>
            <w:tcW w:w="7479" w:type="dxa"/>
            <w:tcBorders>
              <w:top w:val="single" w:color="000000" w:sz="4" w:space="0"/>
              <w:left w:val="single" w:color="000000" w:sz="4" w:space="0"/>
              <w:bottom w:val="single" w:color="000000" w:sz="4" w:space="0"/>
              <w:right w:val="single" w:color="000000" w:sz="4" w:space="0"/>
            </w:tcBorders>
            <w:vAlign w:val="center"/>
          </w:tcPr>
          <w:p w14:paraId="5FD1B7C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流水线在线连接的所有检测仪器均可独立工作。</w:t>
            </w:r>
          </w:p>
        </w:tc>
      </w:tr>
      <w:tr w14:paraId="565117A9">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A1AEC66">
            <w:pPr>
              <w:spacing w:line="360" w:lineRule="auto"/>
              <w:jc w:val="both"/>
              <w:rPr>
                <w:rFonts w:hint="eastAsia" w:ascii="微软雅黑" w:hAnsi="微软雅黑" w:eastAsia="微软雅黑" w:cs="微软雅黑"/>
                <w:color w:val="auto"/>
                <w:kern w:val="0"/>
                <w:sz w:val="24"/>
                <w:lang w:eastAsia="zh-CN"/>
              </w:rPr>
            </w:pPr>
            <w:r>
              <w:rPr>
                <w:rFonts w:hint="eastAsia" w:ascii="微软雅黑" w:hAnsi="微软雅黑" w:eastAsia="微软雅黑" w:cs="微软雅黑"/>
                <w:color w:val="auto"/>
                <w:kern w:val="0"/>
                <w:sz w:val="24"/>
                <w:lang w:val="en-US" w:eastAsia="zh-CN"/>
              </w:rPr>
              <w:t>7</w:t>
            </w:r>
          </w:p>
        </w:tc>
        <w:tc>
          <w:tcPr>
            <w:tcW w:w="7479" w:type="dxa"/>
            <w:tcBorders>
              <w:top w:val="single" w:color="000000" w:sz="4" w:space="0"/>
              <w:left w:val="single" w:color="000000" w:sz="4" w:space="0"/>
              <w:bottom w:val="single" w:color="000000" w:sz="4" w:space="0"/>
              <w:right w:val="single" w:color="000000" w:sz="4" w:space="0"/>
            </w:tcBorders>
            <w:vAlign w:val="center"/>
          </w:tcPr>
          <w:p w14:paraId="55EBE8D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全自动生化分析仪</w:t>
            </w:r>
          </w:p>
        </w:tc>
      </w:tr>
      <w:tr w14:paraId="65434EB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005A323">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rPr>
              <w:t>7</w:t>
            </w:r>
            <w:r>
              <w:rPr>
                <w:rFonts w:hint="eastAsia" w:ascii="微软雅黑" w:hAnsi="微软雅黑" w:eastAsia="微软雅黑" w:cs="微软雅黑"/>
                <w:color w:val="auto"/>
                <w:kern w:val="0"/>
                <w:sz w:val="24"/>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7350290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线上生化检测光学总速度需≥4000测试/小时，电解质总检测速度≥1200测试/小时。</w:t>
            </w:r>
          </w:p>
        </w:tc>
      </w:tr>
      <w:tr w14:paraId="6DDFE7A0">
        <w:tblPrEx>
          <w:tblCellMar>
            <w:top w:w="0" w:type="dxa"/>
            <w:left w:w="108" w:type="dxa"/>
            <w:bottom w:w="0" w:type="dxa"/>
            <w:right w:w="108" w:type="dxa"/>
          </w:tblCellMar>
        </w:tblPrEx>
        <w:trPr>
          <w:trHeight w:val="56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2304B8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rPr>
              <w:t>7</w:t>
            </w:r>
            <w:r>
              <w:rPr>
                <w:rFonts w:hint="eastAsia" w:ascii="微软雅黑" w:hAnsi="微软雅黑" w:eastAsia="微软雅黑" w:cs="微软雅黑"/>
                <w:color w:val="auto"/>
                <w:kern w:val="0"/>
                <w:sz w:val="24"/>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71CD591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单台生化分析仪最大同时可分析项目≥70项（不含ISE项目）</w:t>
            </w:r>
          </w:p>
        </w:tc>
      </w:tr>
      <w:tr w14:paraId="703039F0">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1C5D35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rPr>
              <w:t>7</w:t>
            </w:r>
            <w:r>
              <w:rPr>
                <w:rFonts w:hint="eastAsia" w:ascii="微软雅黑" w:hAnsi="微软雅黑" w:eastAsia="微软雅黑" w:cs="微软雅黑"/>
                <w:color w:val="auto"/>
                <w:kern w:val="0"/>
                <w:sz w:val="24"/>
              </w:rPr>
              <w:t>.3</w:t>
            </w:r>
          </w:p>
        </w:tc>
        <w:tc>
          <w:tcPr>
            <w:tcW w:w="7479" w:type="dxa"/>
            <w:tcBorders>
              <w:top w:val="single" w:color="000000" w:sz="4" w:space="0"/>
              <w:left w:val="single" w:color="000000" w:sz="4" w:space="0"/>
              <w:bottom w:val="single" w:color="000000" w:sz="4" w:space="0"/>
              <w:right w:val="single" w:color="000000" w:sz="4" w:space="0"/>
            </w:tcBorders>
            <w:vAlign w:val="center"/>
          </w:tcPr>
          <w:p w14:paraId="5D49B84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恒温系统：固体直热（干式）恒温方式。</w:t>
            </w:r>
          </w:p>
        </w:tc>
      </w:tr>
      <w:tr w14:paraId="6FD7F176">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52B8F79">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rPr>
              <w:t>7</w:t>
            </w:r>
            <w:r>
              <w:rPr>
                <w:rFonts w:hint="eastAsia" w:ascii="微软雅黑" w:hAnsi="微软雅黑" w:eastAsia="微软雅黑" w:cs="微软雅黑"/>
                <w:color w:val="auto"/>
                <w:kern w:val="0"/>
                <w:sz w:val="24"/>
              </w:rPr>
              <w:t>.4</w:t>
            </w:r>
          </w:p>
        </w:tc>
        <w:tc>
          <w:tcPr>
            <w:tcW w:w="7479" w:type="dxa"/>
            <w:tcBorders>
              <w:top w:val="single" w:color="000000" w:sz="4" w:space="0"/>
              <w:left w:val="single" w:color="000000" w:sz="4" w:space="0"/>
              <w:bottom w:val="single" w:color="000000" w:sz="4" w:space="0"/>
              <w:right w:val="single" w:color="000000" w:sz="4" w:space="0"/>
            </w:tcBorders>
            <w:vAlign w:val="center"/>
          </w:tcPr>
          <w:p w14:paraId="732BBBFE">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反应杯：石英玻璃比色杯，永久免更换。</w:t>
            </w:r>
          </w:p>
        </w:tc>
      </w:tr>
      <w:tr w14:paraId="25CED2F0">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A57352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9</w:t>
            </w:r>
          </w:p>
        </w:tc>
        <w:tc>
          <w:tcPr>
            <w:tcW w:w="7479" w:type="dxa"/>
            <w:tcBorders>
              <w:top w:val="single" w:color="000000" w:sz="4" w:space="0"/>
              <w:left w:val="single" w:color="000000" w:sz="4" w:space="0"/>
              <w:bottom w:val="single" w:color="000000" w:sz="4" w:space="0"/>
              <w:right w:val="single" w:color="000000" w:sz="4" w:space="0"/>
            </w:tcBorders>
            <w:vAlign w:val="center"/>
          </w:tcPr>
          <w:p w14:paraId="0E9FDC3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全自动化学发光免疫分析仪</w:t>
            </w:r>
          </w:p>
        </w:tc>
      </w:tr>
      <w:tr w14:paraId="285895A6">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A7F0F31">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9.1</w:t>
            </w:r>
          </w:p>
        </w:tc>
        <w:tc>
          <w:tcPr>
            <w:tcW w:w="7479" w:type="dxa"/>
            <w:tcBorders>
              <w:top w:val="single" w:color="000000" w:sz="4" w:space="0"/>
              <w:left w:val="single" w:color="000000" w:sz="4" w:space="0"/>
              <w:bottom w:val="single" w:color="000000" w:sz="4" w:space="0"/>
              <w:right w:val="single" w:color="000000" w:sz="4" w:space="0"/>
            </w:tcBorders>
            <w:vAlign w:val="center"/>
          </w:tcPr>
          <w:p w14:paraId="477681A6">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线上发光检测总速度需≥1000测试/小时。</w:t>
            </w:r>
          </w:p>
        </w:tc>
      </w:tr>
      <w:tr w14:paraId="6385D34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971BAB3">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9.2</w:t>
            </w:r>
          </w:p>
        </w:tc>
        <w:tc>
          <w:tcPr>
            <w:tcW w:w="7479" w:type="dxa"/>
            <w:tcBorders>
              <w:top w:val="single" w:color="000000" w:sz="4" w:space="0"/>
              <w:left w:val="single" w:color="000000" w:sz="4" w:space="0"/>
              <w:bottom w:val="single" w:color="000000" w:sz="4" w:space="0"/>
              <w:right w:val="single" w:color="000000" w:sz="4" w:space="0"/>
            </w:tcBorders>
            <w:vAlign w:val="center"/>
          </w:tcPr>
          <w:p w14:paraId="4B14441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生物防风险设置，可进行反应后物质固体和液体分离技术。</w:t>
            </w:r>
          </w:p>
        </w:tc>
      </w:tr>
      <w:tr w14:paraId="7BE1D7C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006C387">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（三）</w:t>
            </w:r>
          </w:p>
        </w:tc>
        <w:tc>
          <w:tcPr>
            <w:tcW w:w="7479" w:type="dxa"/>
            <w:tcBorders>
              <w:top w:val="single" w:color="000000" w:sz="4" w:space="0"/>
              <w:left w:val="single" w:color="000000" w:sz="4" w:space="0"/>
              <w:bottom w:val="single" w:color="000000" w:sz="4" w:space="0"/>
              <w:right w:val="single" w:color="000000" w:sz="4" w:space="0"/>
            </w:tcBorders>
            <w:vAlign w:val="center"/>
          </w:tcPr>
          <w:p w14:paraId="3E87D421">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b/>
                <w:bCs/>
                <w:color w:val="auto"/>
                <w:kern w:val="0"/>
                <w:sz w:val="24"/>
                <w:lang w:bidi="ar"/>
              </w:rPr>
              <w:t>全自动生化免疫流水线（急诊）4套</w:t>
            </w:r>
            <w:r>
              <w:rPr>
                <w:rFonts w:hint="eastAsia" w:ascii="微软雅黑" w:hAnsi="微软雅黑" w:eastAsia="微软雅黑" w:cs="微软雅黑"/>
                <w:b/>
                <w:bCs/>
                <w:color w:val="auto"/>
                <w:kern w:val="0"/>
                <w:sz w:val="24"/>
              </w:rPr>
              <w:t>（重点设备，</w:t>
            </w:r>
            <w:r>
              <w:rPr>
                <w:rFonts w:hint="eastAsia" w:ascii="微软雅黑" w:hAnsi="微软雅黑" w:eastAsia="微软雅黑" w:cs="微软雅黑"/>
                <w:b/>
                <w:bCs/>
                <w:color w:val="auto"/>
                <w:kern w:val="0"/>
                <w:sz w:val="24"/>
              </w:rPr>
              <w:t>设备清单第2项）（以下容量、处理速度要求，如无特殊说明的，均为单条流水线要求，如有单台设备要求单独列出）</w:t>
            </w:r>
          </w:p>
        </w:tc>
      </w:tr>
      <w:tr w14:paraId="4549203C">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21F7BFB">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2CE416BD">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系统总体要求</w:t>
            </w:r>
          </w:p>
        </w:tc>
      </w:tr>
      <w:tr w14:paraId="1D782453">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16673E4">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1.1</w:t>
            </w:r>
          </w:p>
        </w:tc>
        <w:tc>
          <w:tcPr>
            <w:tcW w:w="7479" w:type="dxa"/>
            <w:tcBorders>
              <w:top w:val="single" w:color="000000" w:sz="4" w:space="0"/>
              <w:left w:val="single" w:color="000000" w:sz="4" w:space="0"/>
              <w:bottom w:val="single" w:color="000000" w:sz="4" w:space="0"/>
              <w:right w:val="single" w:color="000000" w:sz="4" w:space="0"/>
            </w:tcBorders>
            <w:vAlign w:val="center"/>
          </w:tcPr>
          <w:p w14:paraId="7278C05A">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全自动生化免疫急诊流水线系统须包括</w:t>
            </w:r>
            <w:r>
              <w:rPr>
                <w:rFonts w:hint="eastAsia" w:ascii="微软雅黑" w:hAnsi="微软雅黑" w:eastAsia="微软雅黑" w:cs="微软雅黑"/>
                <w:color w:val="auto"/>
                <w:kern w:val="0"/>
                <w:sz w:val="24"/>
              </w:rPr>
              <w:t>全自动生化分析仪、全自动化学发光免疫分析仪、</w:t>
            </w:r>
            <w:r>
              <w:rPr>
                <w:rFonts w:hint="eastAsia" w:ascii="微软雅黑" w:hAnsi="微软雅黑" w:eastAsia="微软雅黑" w:cs="微软雅黑"/>
                <w:color w:val="auto"/>
                <w:kern w:val="0"/>
                <w:sz w:val="24"/>
                <w:lang w:bidi="ar"/>
              </w:rPr>
              <w:t>进出样模块、离心模块、去盖模块、分析仪连接端口、轨道传输系统以及数据信息管理系统；其中</w:t>
            </w:r>
            <w:r>
              <w:rPr>
                <w:rFonts w:hint="eastAsia" w:ascii="微软雅黑" w:hAnsi="微软雅黑" w:eastAsia="微软雅黑" w:cs="微软雅黑"/>
                <w:color w:val="auto"/>
                <w:kern w:val="0"/>
                <w:sz w:val="24"/>
              </w:rPr>
              <w:t>全自动生化分析仪、全自动化学发光免疫分析仪和流水线轨道传输系统应为同一品牌。</w:t>
            </w:r>
            <w:r>
              <w:rPr>
                <w:rFonts w:hint="eastAsia" w:ascii="微软雅黑" w:hAnsi="微软雅黑" w:eastAsia="微软雅黑" w:cs="微软雅黑"/>
                <w:color w:val="auto"/>
                <w:kern w:val="0"/>
                <w:sz w:val="24"/>
                <w:lang w:bidi="ar"/>
              </w:rPr>
              <w:t>所有功能模块均由轨道连接实现全程自动化，并由数据信息管理系统进行统一管理和操作。</w:t>
            </w:r>
            <w:r>
              <w:rPr>
                <w:rFonts w:hint="eastAsia" w:ascii="微软雅黑" w:hAnsi="微软雅黑" w:eastAsia="微软雅黑" w:cs="微软雅黑"/>
                <w:color w:val="auto"/>
                <w:kern w:val="0"/>
                <w:sz w:val="24"/>
              </w:rPr>
              <w:t>全自动生化分析仪和全自动化学发光免疫分析仪应具备在仪器运行状态下实时加载试剂的功能（即不停机加载），以确保检测流程的连续性。（投标文件中提供佐证资料，并注明投标文件页码）</w:t>
            </w:r>
          </w:p>
        </w:tc>
      </w:tr>
      <w:tr w14:paraId="072BC37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5163FB9">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61975F31">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进出样模块</w:t>
            </w:r>
          </w:p>
        </w:tc>
      </w:tr>
      <w:tr w14:paraId="3F59EAF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4F6EFA5">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2.1</w:t>
            </w:r>
          </w:p>
        </w:tc>
        <w:tc>
          <w:tcPr>
            <w:tcW w:w="7479" w:type="dxa"/>
            <w:tcBorders>
              <w:top w:val="single" w:color="000000" w:sz="4" w:space="0"/>
              <w:left w:val="single" w:color="000000" w:sz="4" w:space="0"/>
              <w:bottom w:val="single" w:color="000000" w:sz="4" w:space="0"/>
              <w:right w:val="single" w:color="000000" w:sz="4" w:space="0"/>
            </w:tcBorders>
            <w:vAlign w:val="center"/>
          </w:tcPr>
          <w:p w14:paraId="00545BFF">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单个架式进出样模块的样本容量≥600管/小时（不含倾倒式进样容量）</w:t>
            </w:r>
          </w:p>
        </w:tc>
      </w:tr>
      <w:tr w14:paraId="1F45720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779757A6">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2.2</w:t>
            </w:r>
          </w:p>
        </w:tc>
        <w:tc>
          <w:tcPr>
            <w:tcW w:w="7479" w:type="dxa"/>
            <w:tcBorders>
              <w:top w:val="single" w:color="000000" w:sz="4" w:space="0"/>
              <w:left w:val="single" w:color="000000" w:sz="4" w:space="0"/>
              <w:bottom w:val="single" w:color="000000" w:sz="4" w:space="0"/>
              <w:right w:val="single" w:color="000000" w:sz="4" w:space="0"/>
            </w:tcBorders>
            <w:vAlign w:val="center"/>
          </w:tcPr>
          <w:p w14:paraId="040A6EB3">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进出样模块的处理速度≥500管/小时</w:t>
            </w:r>
          </w:p>
        </w:tc>
      </w:tr>
      <w:tr w14:paraId="186495BC">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633C4A4">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3</w:t>
            </w:r>
          </w:p>
        </w:tc>
        <w:tc>
          <w:tcPr>
            <w:tcW w:w="7479" w:type="dxa"/>
            <w:tcBorders>
              <w:top w:val="single" w:color="000000" w:sz="4" w:space="0"/>
              <w:left w:val="single" w:color="000000" w:sz="4" w:space="0"/>
              <w:bottom w:val="single" w:color="000000" w:sz="4" w:space="0"/>
              <w:right w:val="single" w:color="000000" w:sz="4" w:space="0"/>
            </w:tcBorders>
            <w:vAlign w:val="center"/>
          </w:tcPr>
          <w:p w14:paraId="4B0BA277">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离心模块</w:t>
            </w:r>
          </w:p>
        </w:tc>
      </w:tr>
      <w:tr w14:paraId="5A70EB38">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5D1135A">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3.1</w:t>
            </w:r>
          </w:p>
        </w:tc>
        <w:tc>
          <w:tcPr>
            <w:tcW w:w="7479" w:type="dxa"/>
            <w:tcBorders>
              <w:top w:val="single" w:color="000000" w:sz="4" w:space="0"/>
              <w:left w:val="single" w:color="000000" w:sz="4" w:space="0"/>
              <w:bottom w:val="single" w:color="000000" w:sz="4" w:space="0"/>
              <w:right w:val="single" w:color="000000" w:sz="4" w:space="0"/>
            </w:tcBorders>
            <w:vAlign w:val="center"/>
          </w:tcPr>
          <w:p w14:paraId="20E05D88">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总离心速度≥1000管/小时，</w:t>
            </w:r>
            <w:r>
              <w:rPr>
                <w:rFonts w:hint="eastAsia" w:ascii="微软雅黑" w:hAnsi="微软雅黑" w:eastAsia="微软雅黑" w:cs="微软雅黑"/>
                <w:color w:val="auto"/>
                <w:kern w:val="0"/>
                <w:sz w:val="24"/>
                <w:lang w:bidi="ar"/>
              </w:rPr>
              <w:t>单台离心模块速度≥350管/小时，单台离心模块单批次最大装载量≥80管，支持血清余量、血清质量拍照识别功能。</w:t>
            </w:r>
          </w:p>
        </w:tc>
      </w:tr>
      <w:tr w14:paraId="0C0FE51C">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8FCA1C1">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4</w:t>
            </w:r>
          </w:p>
        </w:tc>
        <w:tc>
          <w:tcPr>
            <w:tcW w:w="7479" w:type="dxa"/>
            <w:tcBorders>
              <w:top w:val="single" w:color="000000" w:sz="4" w:space="0"/>
              <w:left w:val="single" w:color="000000" w:sz="4" w:space="0"/>
              <w:bottom w:val="single" w:color="000000" w:sz="4" w:space="0"/>
              <w:right w:val="single" w:color="000000" w:sz="4" w:space="0"/>
            </w:tcBorders>
            <w:vAlign w:val="center"/>
          </w:tcPr>
          <w:p w14:paraId="4ED63DDB">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去盖模块</w:t>
            </w:r>
          </w:p>
        </w:tc>
      </w:tr>
      <w:tr w14:paraId="27F7EED0">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8D521E3">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4.1</w:t>
            </w:r>
          </w:p>
        </w:tc>
        <w:tc>
          <w:tcPr>
            <w:tcW w:w="7479" w:type="dxa"/>
            <w:tcBorders>
              <w:top w:val="single" w:color="000000" w:sz="4" w:space="0"/>
              <w:left w:val="single" w:color="000000" w:sz="4" w:space="0"/>
              <w:bottom w:val="single" w:color="000000" w:sz="4" w:space="0"/>
              <w:right w:val="single" w:color="000000" w:sz="4" w:space="0"/>
            </w:tcBorders>
            <w:vAlign w:val="center"/>
          </w:tcPr>
          <w:p w14:paraId="0381DC95">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去盖模块速度≥500管/小时，能够实现气溶胶过滤及紫外线消毒，防止生物污染。</w:t>
            </w:r>
          </w:p>
        </w:tc>
      </w:tr>
      <w:tr w14:paraId="0E0308B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D915B41">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5</w:t>
            </w:r>
          </w:p>
        </w:tc>
        <w:tc>
          <w:tcPr>
            <w:tcW w:w="7479" w:type="dxa"/>
            <w:tcBorders>
              <w:top w:val="single" w:color="000000" w:sz="4" w:space="0"/>
              <w:left w:val="single" w:color="000000" w:sz="4" w:space="0"/>
              <w:bottom w:val="single" w:color="000000" w:sz="4" w:space="0"/>
              <w:right w:val="single" w:color="000000" w:sz="4" w:space="0"/>
            </w:tcBorders>
            <w:vAlign w:val="center"/>
          </w:tcPr>
          <w:p w14:paraId="7C66C791">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轨道传输系统</w:t>
            </w:r>
          </w:p>
        </w:tc>
      </w:tr>
      <w:tr w14:paraId="48E17297">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5729593">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5.1</w:t>
            </w:r>
          </w:p>
        </w:tc>
        <w:tc>
          <w:tcPr>
            <w:tcW w:w="7479" w:type="dxa"/>
            <w:tcBorders>
              <w:top w:val="single" w:color="000000" w:sz="4" w:space="0"/>
              <w:left w:val="single" w:color="000000" w:sz="4" w:space="0"/>
              <w:bottom w:val="single" w:color="000000" w:sz="4" w:space="0"/>
              <w:right w:val="single" w:color="000000" w:sz="4" w:space="0"/>
            </w:tcBorders>
            <w:vAlign w:val="center"/>
          </w:tcPr>
          <w:p w14:paraId="37E0DF40">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主体轨道通量≥4轨道，可实现急诊样本快速检测，且样品管在流水线轨道上采用单管传输，方便样本灵活调度，单轨处理速度≥2000管/小时。</w:t>
            </w:r>
          </w:p>
        </w:tc>
      </w:tr>
      <w:tr w14:paraId="664533FE">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BF5EA9E">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5.2</w:t>
            </w:r>
          </w:p>
        </w:tc>
        <w:tc>
          <w:tcPr>
            <w:tcW w:w="7479" w:type="dxa"/>
            <w:tcBorders>
              <w:top w:val="single" w:color="000000" w:sz="4" w:space="0"/>
              <w:left w:val="single" w:color="000000" w:sz="4" w:space="0"/>
              <w:bottom w:val="single" w:color="000000" w:sz="4" w:space="0"/>
              <w:right w:val="single" w:color="000000" w:sz="4" w:space="0"/>
            </w:tcBorders>
            <w:vAlign w:val="center"/>
          </w:tcPr>
          <w:p w14:paraId="7436681E">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流水线在线连接的所有检测仪器均可独立工作。</w:t>
            </w:r>
          </w:p>
        </w:tc>
      </w:tr>
      <w:tr w14:paraId="61A9A95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CCAD238">
            <w:pPr>
              <w:widowControl/>
              <w:spacing w:line="360" w:lineRule="auto"/>
              <w:jc w:val="both"/>
              <w:rPr>
                <w:rFonts w:hint="eastAsia" w:ascii="微软雅黑" w:hAnsi="微软雅黑" w:eastAsia="微软雅黑" w:cs="微软雅黑"/>
                <w:color w:val="auto"/>
                <w:kern w:val="0"/>
                <w:sz w:val="24"/>
                <w:lang w:eastAsia="zh-CN"/>
              </w:rPr>
            </w:pPr>
            <w:r>
              <w:rPr>
                <w:rFonts w:hint="eastAsia" w:ascii="微软雅黑" w:hAnsi="微软雅黑" w:eastAsia="微软雅黑" w:cs="微软雅黑"/>
                <w:color w:val="auto"/>
                <w:kern w:val="0"/>
                <w:sz w:val="24"/>
                <w:lang w:val="en-US" w:eastAsia="zh-CN" w:bidi="ar"/>
              </w:rPr>
              <w:t>6</w:t>
            </w:r>
          </w:p>
        </w:tc>
        <w:tc>
          <w:tcPr>
            <w:tcW w:w="7479" w:type="dxa"/>
            <w:tcBorders>
              <w:top w:val="single" w:color="000000" w:sz="4" w:space="0"/>
              <w:left w:val="single" w:color="000000" w:sz="4" w:space="0"/>
              <w:bottom w:val="single" w:color="000000" w:sz="4" w:space="0"/>
              <w:right w:val="single" w:color="000000" w:sz="4" w:space="0"/>
            </w:tcBorders>
            <w:vAlign w:val="center"/>
          </w:tcPr>
          <w:p w14:paraId="6BEF9811">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全自动生化分析仪</w:t>
            </w:r>
          </w:p>
        </w:tc>
      </w:tr>
      <w:tr w14:paraId="7DCC9413">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4D1DDBF">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bidi="ar"/>
              </w:rPr>
              <w:t>6</w:t>
            </w:r>
            <w:r>
              <w:rPr>
                <w:rFonts w:hint="eastAsia" w:ascii="微软雅黑" w:hAnsi="微软雅黑" w:eastAsia="微软雅黑" w:cs="微软雅黑"/>
                <w:color w:val="auto"/>
                <w:kern w:val="0"/>
                <w:sz w:val="24"/>
                <w:lang w:bidi="ar"/>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4234C73F">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线上生化检测光学总速度需≥1800测试/小时，电解质总检测速度≥600测试/小时。</w:t>
            </w:r>
          </w:p>
        </w:tc>
      </w:tr>
      <w:tr w14:paraId="77E493C5">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C599517">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bidi="ar"/>
              </w:rPr>
              <w:t>6</w:t>
            </w:r>
            <w:r>
              <w:rPr>
                <w:rFonts w:hint="eastAsia" w:ascii="微软雅黑" w:hAnsi="微软雅黑" w:eastAsia="微软雅黑" w:cs="微软雅黑"/>
                <w:color w:val="auto"/>
                <w:kern w:val="0"/>
                <w:sz w:val="24"/>
                <w:lang w:bidi="ar"/>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03B95453">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单台生化分析仪最大同时可分析项目≥70项（不含ISE项目）（投标文件中提供产品彩页或检测报告或产品说明书佐证</w:t>
            </w:r>
            <w:r>
              <w:rPr>
                <w:rFonts w:hint="eastAsia" w:ascii="微软雅黑" w:hAnsi="微软雅黑" w:eastAsia="微软雅黑" w:cs="微软雅黑"/>
                <w:color w:val="auto"/>
                <w:kern w:val="0"/>
                <w:sz w:val="24"/>
              </w:rPr>
              <w:t>，并注明投标文件页码</w:t>
            </w:r>
            <w:r>
              <w:rPr>
                <w:rFonts w:hint="eastAsia" w:ascii="微软雅黑" w:hAnsi="微软雅黑" w:eastAsia="微软雅黑" w:cs="微软雅黑"/>
                <w:color w:val="auto"/>
                <w:kern w:val="0"/>
                <w:sz w:val="24"/>
                <w:lang w:bidi="ar"/>
              </w:rPr>
              <w:t>）</w:t>
            </w:r>
          </w:p>
        </w:tc>
      </w:tr>
      <w:tr w14:paraId="1C5123E2">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705DF6F">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bidi="ar"/>
              </w:rPr>
              <w:t>6</w:t>
            </w:r>
            <w:r>
              <w:rPr>
                <w:rFonts w:hint="eastAsia" w:ascii="微软雅黑" w:hAnsi="微软雅黑" w:eastAsia="微软雅黑" w:cs="微软雅黑"/>
                <w:color w:val="auto"/>
                <w:kern w:val="0"/>
                <w:sz w:val="24"/>
                <w:lang w:bidi="ar"/>
              </w:rPr>
              <w:t>.3</w:t>
            </w:r>
          </w:p>
        </w:tc>
        <w:tc>
          <w:tcPr>
            <w:tcW w:w="7479" w:type="dxa"/>
            <w:tcBorders>
              <w:top w:val="single" w:color="000000" w:sz="4" w:space="0"/>
              <w:left w:val="single" w:color="000000" w:sz="4" w:space="0"/>
              <w:bottom w:val="single" w:color="000000" w:sz="4" w:space="0"/>
              <w:right w:val="single" w:color="000000" w:sz="4" w:space="0"/>
            </w:tcBorders>
            <w:vAlign w:val="center"/>
          </w:tcPr>
          <w:p w14:paraId="57596A55">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恒温系统：固体直热（干式）恒温方式。</w:t>
            </w:r>
          </w:p>
        </w:tc>
      </w:tr>
      <w:tr w14:paraId="2A25258F">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FDA693E">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bidi="ar"/>
              </w:rPr>
              <w:t>6</w:t>
            </w:r>
            <w:r>
              <w:rPr>
                <w:rFonts w:hint="eastAsia" w:ascii="微软雅黑" w:hAnsi="微软雅黑" w:eastAsia="微软雅黑" w:cs="微软雅黑"/>
                <w:color w:val="auto"/>
                <w:kern w:val="0"/>
                <w:sz w:val="24"/>
                <w:lang w:bidi="ar"/>
              </w:rPr>
              <w:t>.4</w:t>
            </w:r>
          </w:p>
        </w:tc>
        <w:tc>
          <w:tcPr>
            <w:tcW w:w="7479" w:type="dxa"/>
            <w:tcBorders>
              <w:top w:val="single" w:color="000000" w:sz="4" w:space="0"/>
              <w:left w:val="single" w:color="000000" w:sz="4" w:space="0"/>
              <w:bottom w:val="single" w:color="000000" w:sz="4" w:space="0"/>
              <w:right w:val="single" w:color="000000" w:sz="4" w:space="0"/>
            </w:tcBorders>
            <w:vAlign w:val="center"/>
          </w:tcPr>
          <w:p w14:paraId="29046F0E">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反应杯：石英玻璃比色杯，永久免更换。</w:t>
            </w:r>
          </w:p>
        </w:tc>
      </w:tr>
      <w:tr w14:paraId="751869B5">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E1E9EA3">
            <w:pPr>
              <w:widowControl/>
              <w:spacing w:line="360" w:lineRule="auto"/>
              <w:jc w:val="both"/>
              <w:rPr>
                <w:rFonts w:hint="eastAsia" w:ascii="微软雅黑" w:hAnsi="微软雅黑" w:eastAsia="微软雅黑" w:cs="微软雅黑"/>
                <w:color w:val="auto"/>
                <w:kern w:val="0"/>
                <w:sz w:val="24"/>
                <w:lang w:eastAsia="zh-CN"/>
              </w:rPr>
            </w:pPr>
            <w:r>
              <w:rPr>
                <w:rFonts w:hint="eastAsia" w:ascii="微软雅黑" w:hAnsi="微软雅黑" w:eastAsia="微软雅黑" w:cs="微软雅黑"/>
                <w:color w:val="auto"/>
                <w:kern w:val="0"/>
                <w:sz w:val="24"/>
                <w:lang w:val="en-US" w:eastAsia="zh-CN" w:bidi="ar"/>
              </w:rPr>
              <w:t>7</w:t>
            </w:r>
          </w:p>
        </w:tc>
        <w:tc>
          <w:tcPr>
            <w:tcW w:w="7479" w:type="dxa"/>
            <w:tcBorders>
              <w:top w:val="single" w:color="000000" w:sz="4" w:space="0"/>
              <w:left w:val="single" w:color="000000" w:sz="4" w:space="0"/>
              <w:bottom w:val="single" w:color="000000" w:sz="4" w:space="0"/>
              <w:right w:val="single" w:color="000000" w:sz="4" w:space="0"/>
            </w:tcBorders>
            <w:vAlign w:val="center"/>
          </w:tcPr>
          <w:p w14:paraId="27B8BC31">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全自动化学发光免疫分析仪</w:t>
            </w:r>
          </w:p>
        </w:tc>
      </w:tr>
      <w:tr w14:paraId="12B079DF">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49C30A7">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bidi="ar"/>
              </w:rPr>
              <w:t>7</w:t>
            </w:r>
            <w:r>
              <w:rPr>
                <w:rFonts w:hint="eastAsia" w:ascii="微软雅黑" w:hAnsi="微软雅黑" w:eastAsia="微软雅黑" w:cs="微软雅黑"/>
                <w:color w:val="auto"/>
                <w:kern w:val="0"/>
                <w:sz w:val="24"/>
                <w:lang w:bidi="ar"/>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37033FB9">
            <w:pPr>
              <w:widowControl/>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bidi="ar"/>
              </w:rPr>
              <w:t>线上发光检测总速度需≥400测试/小时。</w:t>
            </w:r>
          </w:p>
        </w:tc>
      </w:tr>
      <w:tr w14:paraId="4856974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B6E6A51">
            <w:pPr>
              <w:spacing w:line="360" w:lineRule="auto"/>
              <w:jc w:val="both"/>
              <w:rPr>
                <w:rFonts w:ascii="微软雅黑" w:hAnsi="微软雅黑" w:eastAsia="微软雅黑" w:cs="微软雅黑"/>
                <w:b/>
                <w:bCs/>
                <w:color w:val="auto"/>
                <w:kern w:val="0"/>
                <w:sz w:val="24"/>
              </w:rPr>
            </w:pPr>
            <w:r>
              <w:rPr>
                <w:rFonts w:hint="eastAsia" w:ascii="微软雅黑" w:hAnsi="微软雅黑" w:eastAsia="微软雅黑" w:cs="微软雅黑"/>
                <w:b/>
                <w:bCs/>
                <w:color w:val="auto"/>
                <w:kern w:val="0"/>
                <w:sz w:val="24"/>
              </w:rPr>
              <w:t>（四）</w:t>
            </w:r>
          </w:p>
        </w:tc>
        <w:tc>
          <w:tcPr>
            <w:tcW w:w="7479" w:type="dxa"/>
            <w:tcBorders>
              <w:top w:val="single" w:color="000000" w:sz="4" w:space="0"/>
              <w:left w:val="single" w:color="000000" w:sz="4" w:space="0"/>
              <w:bottom w:val="single" w:color="000000" w:sz="4" w:space="0"/>
              <w:right w:val="single" w:color="000000" w:sz="4" w:space="0"/>
            </w:tcBorders>
            <w:vAlign w:val="center"/>
          </w:tcPr>
          <w:p w14:paraId="75F16257">
            <w:pPr>
              <w:spacing w:line="360" w:lineRule="auto"/>
              <w:jc w:val="both"/>
              <w:rPr>
                <w:rFonts w:ascii="微软雅黑" w:hAnsi="微软雅黑" w:eastAsia="微软雅黑" w:cs="微软雅黑"/>
                <w:b/>
                <w:bCs/>
                <w:color w:val="auto"/>
                <w:kern w:val="0"/>
                <w:sz w:val="24"/>
              </w:rPr>
            </w:pPr>
            <w:r>
              <w:rPr>
                <w:rFonts w:hint="eastAsia" w:ascii="微软雅黑" w:hAnsi="微软雅黑" w:eastAsia="微软雅黑" w:cs="微软雅黑"/>
                <w:b/>
                <w:bCs/>
                <w:color w:val="auto"/>
                <w:kern w:val="0"/>
                <w:sz w:val="24"/>
              </w:rPr>
              <w:t>全自动血细胞分析流水线  4套 （重点设备，设备清单第3项）（以下容量、处理速度要求，如无特殊说明的，均为单条流水线要求，如有单台设备要求单独列出）</w:t>
            </w:r>
          </w:p>
        </w:tc>
      </w:tr>
      <w:tr w14:paraId="00ACD4C9">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CF7037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6B4CE9A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全自动血液分析流水线整体要求</w:t>
            </w:r>
          </w:p>
        </w:tc>
      </w:tr>
      <w:tr w14:paraId="53A9530E">
        <w:tblPrEx>
          <w:tblCellMar>
            <w:top w:w="0" w:type="dxa"/>
            <w:left w:w="108" w:type="dxa"/>
            <w:bottom w:w="0" w:type="dxa"/>
            <w:right w:w="108" w:type="dxa"/>
          </w:tblCellMar>
        </w:tblPrEx>
        <w:trPr>
          <w:trHeight w:val="56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16BD52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1.1</w:t>
            </w:r>
          </w:p>
        </w:tc>
        <w:tc>
          <w:tcPr>
            <w:tcW w:w="7479" w:type="dxa"/>
            <w:tcBorders>
              <w:top w:val="single" w:color="000000" w:sz="4" w:space="0"/>
              <w:left w:val="single" w:color="000000" w:sz="4" w:space="0"/>
              <w:bottom w:val="single" w:color="000000" w:sz="4" w:space="0"/>
              <w:right w:val="single" w:color="000000" w:sz="4" w:space="0"/>
            </w:tcBorders>
            <w:vAlign w:val="center"/>
          </w:tcPr>
          <w:p w14:paraId="20DCDA2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流水线需具备血常规、CRP、SAA、血沉、糖化血红蛋白检测功能，具备血液分析仪、特定蛋白分析仪、糖化分析仪等模块，同时配备推片染色机、全自动细胞形态学分析仪。</w:t>
            </w:r>
          </w:p>
        </w:tc>
      </w:tr>
      <w:tr w14:paraId="4DAAA2E4">
        <w:tblPrEx>
          <w:tblCellMar>
            <w:top w:w="0" w:type="dxa"/>
            <w:left w:w="108" w:type="dxa"/>
            <w:bottom w:w="0" w:type="dxa"/>
            <w:right w:w="108" w:type="dxa"/>
          </w:tblCellMar>
        </w:tblPrEx>
        <w:trPr>
          <w:trHeight w:val="110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1E4259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1.2</w:t>
            </w:r>
          </w:p>
        </w:tc>
        <w:tc>
          <w:tcPr>
            <w:tcW w:w="7479" w:type="dxa"/>
            <w:tcBorders>
              <w:top w:val="single" w:color="000000" w:sz="4" w:space="0"/>
              <w:left w:val="single" w:color="000000" w:sz="4" w:space="0"/>
              <w:bottom w:val="single" w:color="000000" w:sz="4" w:space="0"/>
              <w:right w:val="single" w:color="000000" w:sz="4" w:space="0"/>
            </w:tcBorders>
            <w:vAlign w:val="center"/>
          </w:tcPr>
          <w:p w14:paraId="488266B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 xml:space="preserve">全自动血液分析流水线检测速度要求：全血细胞计数+五分类检测速度≥200个样本/小时，全血细胞计数+五分类+CRP检测速度≥200个样本/小时，CRP检测速度≥200个样本/小时。 </w:t>
            </w:r>
          </w:p>
        </w:tc>
      </w:tr>
      <w:tr w14:paraId="0A16110E">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637D1B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1.3</w:t>
            </w:r>
          </w:p>
        </w:tc>
        <w:tc>
          <w:tcPr>
            <w:tcW w:w="7479" w:type="dxa"/>
            <w:tcBorders>
              <w:top w:val="single" w:color="000000" w:sz="4" w:space="0"/>
              <w:left w:val="single" w:color="000000" w:sz="4" w:space="0"/>
              <w:bottom w:val="single" w:color="000000" w:sz="4" w:space="0"/>
              <w:right w:val="single" w:color="000000" w:sz="4" w:space="0"/>
            </w:tcBorders>
            <w:vAlign w:val="center"/>
          </w:tcPr>
          <w:p w14:paraId="4674CE2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具有血沉检测功能，且血沉检测速度≥100个样本/小时</w:t>
            </w:r>
          </w:p>
        </w:tc>
      </w:tr>
      <w:tr w14:paraId="7D81046F">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F169C7A">
            <w:pPr>
              <w:spacing w:line="360" w:lineRule="auto"/>
              <w:jc w:val="both"/>
              <w:rPr>
                <w:rFonts w:hint="eastAsia" w:ascii="微软雅黑" w:hAnsi="微软雅黑" w:eastAsia="微软雅黑" w:cs="微软雅黑"/>
                <w:color w:val="auto"/>
                <w:kern w:val="0"/>
                <w:sz w:val="24"/>
                <w:lang w:eastAsia="zh-CN"/>
              </w:rPr>
            </w:pPr>
            <w:r>
              <w:rPr>
                <w:rFonts w:hint="eastAsia" w:ascii="微软雅黑" w:hAnsi="微软雅黑" w:eastAsia="微软雅黑" w:cs="微软雅黑"/>
                <w:color w:val="auto"/>
                <w:kern w:val="0"/>
                <w:sz w:val="24"/>
                <w:lang w:val="en-US" w:eastAsia="zh-CN"/>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717DADC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推片染片机</w:t>
            </w:r>
          </w:p>
        </w:tc>
      </w:tr>
      <w:tr w14:paraId="44C0616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993FF73">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rPr>
              <w:t>2</w:t>
            </w:r>
            <w:r>
              <w:rPr>
                <w:rFonts w:hint="eastAsia" w:ascii="微软雅黑" w:hAnsi="微软雅黑" w:eastAsia="微软雅黑" w:cs="微软雅黑"/>
                <w:color w:val="auto"/>
                <w:kern w:val="0"/>
                <w:sz w:val="24"/>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1DBBB2A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提供全自动推片染片一体机，速度≥120样本/小时。</w:t>
            </w:r>
          </w:p>
        </w:tc>
      </w:tr>
      <w:tr w14:paraId="0E5A4C2C">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3660FA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rPr>
              <w:t>2</w:t>
            </w:r>
            <w:r>
              <w:rPr>
                <w:rFonts w:hint="eastAsia" w:ascii="微软雅黑" w:hAnsi="微软雅黑" w:eastAsia="微软雅黑" w:cs="微软雅黑"/>
                <w:color w:val="auto"/>
                <w:kern w:val="0"/>
                <w:sz w:val="24"/>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1D74367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用血量：全自动进样≤200μl，闭盖进样≤200μl，微量血进样≤40μl。</w:t>
            </w:r>
          </w:p>
        </w:tc>
      </w:tr>
      <w:tr w14:paraId="60690A8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928FEC3">
            <w:pPr>
              <w:spacing w:line="360" w:lineRule="auto"/>
              <w:jc w:val="both"/>
              <w:rPr>
                <w:rFonts w:hint="eastAsia" w:ascii="微软雅黑" w:hAnsi="微软雅黑" w:eastAsia="微软雅黑" w:cs="微软雅黑"/>
                <w:color w:val="auto"/>
                <w:kern w:val="0"/>
                <w:sz w:val="24"/>
                <w:lang w:eastAsia="zh-CN"/>
              </w:rPr>
            </w:pPr>
            <w:r>
              <w:rPr>
                <w:rFonts w:hint="eastAsia" w:ascii="微软雅黑" w:hAnsi="微软雅黑" w:eastAsia="微软雅黑" w:cs="微软雅黑"/>
                <w:color w:val="auto"/>
                <w:kern w:val="0"/>
                <w:sz w:val="24"/>
                <w:lang w:val="en-US" w:eastAsia="zh-CN"/>
              </w:rPr>
              <w:t>3</w:t>
            </w:r>
          </w:p>
        </w:tc>
        <w:tc>
          <w:tcPr>
            <w:tcW w:w="7479" w:type="dxa"/>
            <w:tcBorders>
              <w:top w:val="single" w:color="000000" w:sz="4" w:space="0"/>
              <w:left w:val="single" w:color="000000" w:sz="4" w:space="0"/>
              <w:bottom w:val="single" w:color="000000" w:sz="4" w:space="0"/>
              <w:right w:val="single" w:color="000000" w:sz="4" w:space="0"/>
            </w:tcBorders>
            <w:vAlign w:val="center"/>
          </w:tcPr>
          <w:p w14:paraId="74C26351">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全自动细胞形态学分析仪（阅片机）</w:t>
            </w:r>
          </w:p>
        </w:tc>
      </w:tr>
      <w:tr w14:paraId="0EA42D27">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8C55FF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rPr>
              <w:t>3</w:t>
            </w:r>
            <w:r>
              <w:rPr>
                <w:rFonts w:hint="eastAsia" w:ascii="微软雅黑" w:hAnsi="微软雅黑" w:eastAsia="微软雅黑" w:cs="微软雅黑"/>
                <w:color w:val="auto"/>
                <w:kern w:val="0"/>
                <w:sz w:val="24"/>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06FF63C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外周血涂片分类：完全分类100个白细胞+RBC+PLT≥60张/小时。</w:t>
            </w:r>
          </w:p>
        </w:tc>
      </w:tr>
      <w:tr w14:paraId="5EDF06D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11CD14C">
            <w:pPr>
              <w:spacing w:line="360" w:lineRule="auto"/>
              <w:jc w:val="both"/>
              <w:rPr>
                <w:rFonts w:hint="eastAsia" w:ascii="微软雅黑" w:hAnsi="微软雅黑" w:eastAsia="微软雅黑" w:cs="微软雅黑"/>
                <w:color w:val="auto"/>
                <w:kern w:val="0"/>
                <w:sz w:val="24"/>
                <w:lang w:eastAsia="zh-CN"/>
              </w:rPr>
            </w:pPr>
            <w:r>
              <w:rPr>
                <w:rFonts w:hint="eastAsia" w:ascii="微软雅黑" w:hAnsi="微软雅黑" w:eastAsia="微软雅黑" w:cs="微软雅黑"/>
                <w:color w:val="auto"/>
                <w:kern w:val="0"/>
                <w:sz w:val="24"/>
                <w:lang w:val="en-US" w:eastAsia="zh-CN"/>
              </w:rPr>
              <w:t>4</w:t>
            </w:r>
          </w:p>
        </w:tc>
        <w:tc>
          <w:tcPr>
            <w:tcW w:w="7479" w:type="dxa"/>
            <w:tcBorders>
              <w:top w:val="single" w:color="000000" w:sz="4" w:space="0"/>
              <w:left w:val="single" w:color="000000" w:sz="4" w:space="0"/>
              <w:bottom w:val="single" w:color="000000" w:sz="4" w:space="0"/>
              <w:right w:val="single" w:color="000000" w:sz="4" w:space="0"/>
            </w:tcBorders>
            <w:vAlign w:val="center"/>
          </w:tcPr>
          <w:p w14:paraId="09961CE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糖化血红蛋白分析仪</w:t>
            </w:r>
          </w:p>
        </w:tc>
      </w:tr>
      <w:tr w14:paraId="7F28F5C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D16E9F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rPr>
              <w:t>4</w:t>
            </w:r>
            <w:r>
              <w:rPr>
                <w:rFonts w:hint="eastAsia" w:ascii="微软雅黑" w:hAnsi="微软雅黑" w:eastAsia="微软雅黑" w:cs="微软雅黑"/>
                <w:color w:val="auto"/>
                <w:kern w:val="0"/>
                <w:sz w:val="24"/>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631A332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分析原理高效液相色谱法。</w:t>
            </w:r>
          </w:p>
        </w:tc>
      </w:tr>
      <w:tr w14:paraId="0CC8C2A2">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16A676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lang w:val="en-US" w:eastAsia="zh-CN"/>
              </w:rPr>
              <w:t>4</w:t>
            </w:r>
            <w:r>
              <w:rPr>
                <w:rFonts w:hint="eastAsia" w:ascii="微软雅黑" w:hAnsi="微软雅黑" w:eastAsia="微软雅黑" w:cs="微软雅黑"/>
                <w:color w:val="auto"/>
                <w:kern w:val="0"/>
                <w:sz w:val="24"/>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4A0DC19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糖化血红蛋白检测速度≥100个样本/小时。</w:t>
            </w:r>
          </w:p>
        </w:tc>
      </w:tr>
      <w:tr w14:paraId="0E20C64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CDF6F3C">
            <w:pPr>
              <w:spacing w:line="360" w:lineRule="auto"/>
              <w:jc w:val="both"/>
              <w:rPr>
                <w:rFonts w:ascii="微软雅黑" w:hAnsi="微软雅黑" w:eastAsia="微软雅黑" w:cs="微软雅黑"/>
                <w:b/>
                <w:bCs/>
                <w:color w:val="auto"/>
                <w:kern w:val="0"/>
                <w:sz w:val="24"/>
              </w:rPr>
            </w:pPr>
            <w:r>
              <w:rPr>
                <w:rFonts w:hint="eastAsia" w:ascii="微软雅黑" w:hAnsi="微软雅黑" w:eastAsia="微软雅黑" w:cs="微软雅黑"/>
                <w:b/>
                <w:bCs/>
                <w:color w:val="auto"/>
                <w:kern w:val="0"/>
                <w:sz w:val="24"/>
              </w:rPr>
              <w:t>（五）</w:t>
            </w:r>
          </w:p>
        </w:tc>
        <w:tc>
          <w:tcPr>
            <w:tcW w:w="7479" w:type="dxa"/>
            <w:tcBorders>
              <w:top w:val="single" w:color="000000" w:sz="4" w:space="0"/>
              <w:left w:val="single" w:color="000000" w:sz="4" w:space="0"/>
              <w:bottom w:val="single" w:color="000000" w:sz="4" w:space="0"/>
              <w:right w:val="single" w:color="000000" w:sz="4" w:space="0"/>
            </w:tcBorders>
            <w:vAlign w:val="center"/>
          </w:tcPr>
          <w:p w14:paraId="72BB14FB">
            <w:pPr>
              <w:spacing w:line="360" w:lineRule="auto"/>
              <w:jc w:val="both"/>
              <w:rPr>
                <w:rFonts w:ascii="微软雅黑" w:hAnsi="微软雅黑" w:eastAsia="微软雅黑" w:cs="微软雅黑"/>
                <w:b/>
                <w:bCs/>
                <w:color w:val="auto"/>
                <w:kern w:val="0"/>
                <w:sz w:val="24"/>
              </w:rPr>
            </w:pPr>
            <w:r>
              <w:rPr>
                <w:rFonts w:hint="eastAsia" w:ascii="微软雅黑" w:hAnsi="微软雅黑" w:eastAsia="微软雅黑" w:cs="微软雅黑"/>
                <w:b/>
                <w:bCs/>
                <w:color w:val="auto"/>
                <w:kern w:val="0"/>
                <w:sz w:val="24"/>
              </w:rPr>
              <w:t>全自动血凝分析流水线   4套  （重点设备，设备清单第4项）（以下容量、处理速度要求，如无特殊说明的，均为单条流水线要求；单台设备要求单独列出）</w:t>
            </w:r>
          </w:p>
        </w:tc>
      </w:tr>
      <w:tr w14:paraId="79DCFB05">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A62D38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5C59BE0E">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流水线基本要求</w:t>
            </w:r>
          </w:p>
        </w:tc>
      </w:tr>
      <w:tr w14:paraId="7DACC5A5">
        <w:tblPrEx>
          <w:tblCellMar>
            <w:top w:w="0" w:type="dxa"/>
            <w:left w:w="108" w:type="dxa"/>
            <w:bottom w:w="0" w:type="dxa"/>
            <w:right w:w="108" w:type="dxa"/>
          </w:tblCellMar>
        </w:tblPrEx>
        <w:trPr>
          <w:trHeight w:val="571"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D96EA26">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1.1</w:t>
            </w:r>
          </w:p>
        </w:tc>
        <w:tc>
          <w:tcPr>
            <w:tcW w:w="7479" w:type="dxa"/>
            <w:tcBorders>
              <w:top w:val="single" w:color="000000" w:sz="4" w:space="0"/>
              <w:left w:val="single" w:color="000000" w:sz="4" w:space="0"/>
              <w:bottom w:val="single" w:color="000000" w:sz="4" w:space="0"/>
              <w:right w:val="single" w:color="000000" w:sz="4" w:space="0"/>
            </w:tcBorders>
            <w:vAlign w:val="center"/>
          </w:tcPr>
          <w:p w14:paraId="11A18D0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凝血流水线须包括倾倒模块，进出样模块、离心模块、自动质控模块、分析仪连接端口、轨道传输系统以及数据信息管理系统，模块均由轨道连接实现全程自动化，并由数据信息管理系统进行统一管理和操作。</w:t>
            </w:r>
          </w:p>
        </w:tc>
      </w:tr>
      <w:tr w14:paraId="4F527A53">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827454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459A664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全自动凝血流水线技术参数及要求</w:t>
            </w:r>
          </w:p>
        </w:tc>
      </w:tr>
      <w:tr w14:paraId="148A26EE">
        <w:tblPrEx>
          <w:tblCellMar>
            <w:top w:w="0" w:type="dxa"/>
            <w:left w:w="108" w:type="dxa"/>
            <w:bottom w:w="0" w:type="dxa"/>
            <w:right w:w="108" w:type="dxa"/>
          </w:tblCellMar>
        </w:tblPrEx>
        <w:trPr>
          <w:trHeight w:val="56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A2B9566">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2.1</w:t>
            </w:r>
          </w:p>
        </w:tc>
        <w:tc>
          <w:tcPr>
            <w:tcW w:w="7479" w:type="dxa"/>
            <w:tcBorders>
              <w:top w:val="single" w:color="000000" w:sz="4" w:space="0"/>
              <w:left w:val="single" w:color="000000" w:sz="4" w:space="0"/>
              <w:bottom w:val="single" w:color="000000" w:sz="4" w:space="0"/>
              <w:right w:val="single" w:color="000000" w:sz="4" w:space="0"/>
            </w:tcBorders>
            <w:vAlign w:val="center"/>
          </w:tcPr>
          <w:p w14:paraId="650F3C53">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流水线配备自动倾倒模块：速度≥600管/小时，进出样模块的样本容量≥600管，进出样模块处理速度≥800管/小时。</w:t>
            </w:r>
          </w:p>
        </w:tc>
      </w:tr>
      <w:tr w14:paraId="5C7530F5">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CA7967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w:t>
            </w:r>
          </w:p>
        </w:tc>
        <w:tc>
          <w:tcPr>
            <w:tcW w:w="7479" w:type="dxa"/>
            <w:tcBorders>
              <w:top w:val="single" w:color="000000" w:sz="4" w:space="0"/>
              <w:left w:val="single" w:color="000000" w:sz="4" w:space="0"/>
              <w:bottom w:val="single" w:color="000000" w:sz="4" w:space="0"/>
              <w:right w:val="single" w:color="000000" w:sz="4" w:space="0"/>
            </w:tcBorders>
            <w:vAlign w:val="center"/>
          </w:tcPr>
          <w:p w14:paraId="2443EA03">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全自动凝血分析仪模块</w:t>
            </w:r>
          </w:p>
        </w:tc>
      </w:tr>
      <w:tr w14:paraId="590E652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6E405DE">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3.1</w:t>
            </w:r>
          </w:p>
        </w:tc>
        <w:tc>
          <w:tcPr>
            <w:tcW w:w="7479" w:type="dxa"/>
            <w:tcBorders>
              <w:top w:val="single" w:color="000000" w:sz="4" w:space="0"/>
              <w:left w:val="single" w:color="000000" w:sz="4" w:space="0"/>
              <w:bottom w:val="single" w:color="000000" w:sz="4" w:space="0"/>
              <w:right w:val="single" w:color="000000" w:sz="4" w:space="0"/>
            </w:tcBorders>
            <w:vAlign w:val="center"/>
          </w:tcPr>
          <w:p w14:paraId="44C1C77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全自动凝血分析仪整体检测速度PT≥800测试/小时，D-Dimer≥800测试/小时。</w:t>
            </w:r>
          </w:p>
        </w:tc>
      </w:tr>
      <w:tr w14:paraId="5CA2DFB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84AFD6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3.2</w:t>
            </w:r>
          </w:p>
        </w:tc>
        <w:tc>
          <w:tcPr>
            <w:tcW w:w="7479" w:type="dxa"/>
            <w:tcBorders>
              <w:top w:val="single" w:color="000000" w:sz="4" w:space="0"/>
              <w:left w:val="single" w:color="000000" w:sz="4" w:space="0"/>
              <w:bottom w:val="single" w:color="000000" w:sz="4" w:space="0"/>
              <w:right w:val="single" w:color="000000" w:sz="4" w:space="0"/>
            </w:tcBorders>
            <w:vAlign w:val="center"/>
          </w:tcPr>
          <w:p w14:paraId="0FE844C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单模块检测通道：≥20个，可同时适用凝固法、发色底物法、免疫比浊法项目。</w:t>
            </w:r>
          </w:p>
        </w:tc>
      </w:tr>
      <w:tr w14:paraId="06C15E76">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51B633C">
            <w:pPr>
              <w:spacing w:line="360" w:lineRule="auto"/>
              <w:jc w:val="both"/>
              <w:rPr>
                <w:rFonts w:ascii="微软雅黑" w:hAnsi="微软雅黑" w:eastAsia="微软雅黑" w:cs="微软雅黑"/>
                <w:b/>
                <w:bCs/>
                <w:color w:val="auto"/>
                <w:kern w:val="0"/>
                <w:sz w:val="24"/>
              </w:rPr>
            </w:pPr>
            <w:r>
              <w:rPr>
                <w:rFonts w:hint="eastAsia" w:ascii="微软雅黑" w:hAnsi="微软雅黑" w:eastAsia="微软雅黑" w:cs="微软雅黑"/>
                <w:b/>
                <w:bCs/>
                <w:color w:val="auto"/>
                <w:kern w:val="0"/>
                <w:sz w:val="24"/>
              </w:rPr>
              <w:t>（六）</w:t>
            </w:r>
          </w:p>
        </w:tc>
        <w:tc>
          <w:tcPr>
            <w:tcW w:w="7479" w:type="dxa"/>
            <w:tcBorders>
              <w:top w:val="single" w:color="000000" w:sz="4" w:space="0"/>
              <w:left w:val="single" w:color="000000" w:sz="4" w:space="0"/>
              <w:bottom w:val="single" w:color="000000" w:sz="4" w:space="0"/>
              <w:right w:val="single" w:color="000000" w:sz="4" w:space="0"/>
            </w:tcBorders>
            <w:vAlign w:val="center"/>
          </w:tcPr>
          <w:p w14:paraId="46BAC917">
            <w:pPr>
              <w:spacing w:line="360" w:lineRule="auto"/>
              <w:jc w:val="both"/>
              <w:rPr>
                <w:rFonts w:ascii="微软雅黑" w:hAnsi="微软雅黑" w:eastAsia="微软雅黑" w:cs="微软雅黑"/>
                <w:b/>
                <w:bCs/>
                <w:color w:val="auto"/>
                <w:kern w:val="0"/>
                <w:sz w:val="24"/>
              </w:rPr>
            </w:pPr>
            <w:r>
              <w:rPr>
                <w:rFonts w:hint="eastAsia" w:ascii="微软雅黑" w:hAnsi="微软雅黑" w:eastAsia="微软雅黑" w:cs="微软雅黑"/>
                <w:b/>
                <w:bCs/>
                <w:color w:val="auto"/>
                <w:kern w:val="0"/>
                <w:sz w:val="24"/>
              </w:rPr>
              <w:t>体液分析检测系统  4套（设备清单第5、第6、第7项）（以下容量、处理速度要求，如无特殊说明的，均为单台设备或单套系统要求）</w:t>
            </w:r>
          </w:p>
        </w:tc>
      </w:tr>
      <w:tr w14:paraId="0B5C5578">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35185F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298C6DC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 xml:space="preserve">全自动尿液分析系统   </w:t>
            </w:r>
          </w:p>
        </w:tc>
      </w:tr>
      <w:tr w14:paraId="06FF718C">
        <w:tblPrEx>
          <w:tblCellMar>
            <w:top w:w="0" w:type="dxa"/>
            <w:left w:w="108" w:type="dxa"/>
            <w:bottom w:w="0" w:type="dxa"/>
            <w:right w:w="108" w:type="dxa"/>
          </w:tblCellMar>
        </w:tblPrEx>
        <w:trPr>
          <w:trHeight w:val="56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70479ED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1.1</w:t>
            </w:r>
          </w:p>
        </w:tc>
        <w:tc>
          <w:tcPr>
            <w:tcW w:w="7479" w:type="dxa"/>
            <w:tcBorders>
              <w:top w:val="single" w:color="000000" w:sz="4" w:space="0"/>
              <w:left w:val="single" w:color="000000" w:sz="4" w:space="0"/>
              <w:bottom w:val="single" w:color="000000" w:sz="4" w:space="0"/>
              <w:right w:val="single" w:color="000000" w:sz="4" w:space="0"/>
            </w:tcBorders>
            <w:vAlign w:val="center"/>
          </w:tcPr>
          <w:p w14:paraId="06A51AB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标本无须预先离心，无须预先加样，直接上机检测。</w:t>
            </w:r>
          </w:p>
        </w:tc>
      </w:tr>
      <w:tr w14:paraId="15A35A71">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0B3B3C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1.2</w:t>
            </w:r>
          </w:p>
        </w:tc>
        <w:tc>
          <w:tcPr>
            <w:tcW w:w="7479" w:type="dxa"/>
            <w:tcBorders>
              <w:top w:val="single" w:color="000000" w:sz="4" w:space="0"/>
              <w:left w:val="single" w:color="000000" w:sz="4" w:space="0"/>
              <w:bottom w:val="single" w:color="000000" w:sz="4" w:space="0"/>
              <w:right w:val="single" w:color="000000" w:sz="4" w:space="0"/>
            </w:tcBorders>
            <w:vAlign w:val="center"/>
          </w:tcPr>
          <w:p w14:paraId="590450F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检测速度：干化学检测：≥240个样本/小时，有形成分检测: ≥105个样本/小时。</w:t>
            </w:r>
          </w:p>
        </w:tc>
      </w:tr>
      <w:tr w14:paraId="6B6F2612">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6D16FC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1.3</w:t>
            </w:r>
          </w:p>
        </w:tc>
        <w:tc>
          <w:tcPr>
            <w:tcW w:w="7479" w:type="dxa"/>
            <w:tcBorders>
              <w:top w:val="single" w:color="000000" w:sz="4" w:space="0"/>
              <w:left w:val="single" w:color="000000" w:sz="4" w:space="0"/>
              <w:bottom w:val="single" w:color="000000" w:sz="4" w:space="0"/>
              <w:right w:val="single" w:color="000000" w:sz="4" w:space="0"/>
            </w:tcBorders>
            <w:vAlign w:val="center"/>
          </w:tcPr>
          <w:p w14:paraId="1BBAE1A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仪器采用全自动进样系统，样品位≥80个，并有手动进样功能。</w:t>
            </w:r>
          </w:p>
        </w:tc>
      </w:tr>
      <w:tr w14:paraId="03637BEF">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214640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1.4</w:t>
            </w:r>
          </w:p>
        </w:tc>
        <w:tc>
          <w:tcPr>
            <w:tcW w:w="7479" w:type="dxa"/>
            <w:tcBorders>
              <w:top w:val="single" w:color="000000" w:sz="4" w:space="0"/>
              <w:left w:val="single" w:color="000000" w:sz="4" w:space="0"/>
              <w:bottom w:val="single" w:color="000000" w:sz="4" w:space="0"/>
              <w:right w:val="single" w:color="000000" w:sz="4" w:space="0"/>
            </w:tcBorders>
            <w:vAlign w:val="center"/>
          </w:tcPr>
          <w:p w14:paraId="034EDC3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比重检测：</w:t>
            </w:r>
            <w:r>
              <w:rPr>
                <w:rFonts w:hint="eastAsia" w:ascii="微软雅黑" w:hAnsi="微软雅黑" w:eastAsia="微软雅黑" w:cs="微软雅黑"/>
                <w:color w:val="auto"/>
                <w:sz w:val="24"/>
                <w:shd w:val="clear" w:color="auto" w:fill="FFFFFF"/>
              </w:rPr>
              <w:t>采用的光学折射率测定方法符合</w:t>
            </w:r>
            <w:r>
              <w:rPr>
                <w:rFonts w:hint="eastAsia" w:ascii="微软雅黑" w:hAnsi="微软雅黑" w:eastAsia="微软雅黑" w:cs="微软雅黑"/>
                <w:color w:val="auto"/>
                <w:kern w:val="0"/>
                <w:sz w:val="24"/>
              </w:rPr>
              <w:t>NCCLS。</w:t>
            </w:r>
          </w:p>
        </w:tc>
      </w:tr>
      <w:tr w14:paraId="6A7AB00E">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A9631A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1.5</w:t>
            </w:r>
          </w:p>
        </w:tc>
        <w:tc>
          <w:tcPr>
            <w:tcW w:w="7479" w:type="dxa"/>
            <w:tcBorders>
              <w:top w:val="single" w:color="000000" w:sz="4" w:space="0"/>
              <w:left w:val="single" w:color="000000" w:sz="4" w:space="0"/>
              <w:bottom w:val="single" w:color="000000" w:sz="4" w:space="0"/>
              <w:right w:val="single" w:color="000000" w:sz="4" w:space="0"/>
            </w:tcBorders>
            <w:vAlign w:val="center"/>
          </w:tcPr>
          <w:p w14:paraId="0EFBBC7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干化学检测进行自动的定量点式加样。</w:t>
            </w:r>
          </w:p>
        </w:tc>
      </w:tr>
      <w:tr w14:paraId="5D1884CC">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7FC10AD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2BC91ADE">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全自动白带分析系统</w:t>
            </w:r>
          </w:p>
        </w:tc>
      </w:tr>
      <w:tr w14:paraId="7DD36DF9">
        <w:tblPrEx>
          <w:tblCellMar>
            <w:top w:w="0" w:type="dxa"/>
            <w:left w:w="108" w:type="dxa"/>
            <w:bottom w:w="0" w:type="dxa"/>
            <w:right w:w="108" w:type="dxa"/>
          </w:tblCellMar>
        </w:tblPrEx>
        <w:trPr>
          <w:trHeight w:val="449"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F58F717">
            <w:pPr>
              <w:spacing w:line="360" w:lineRule="auto"/>
              <w:jc w:val="both"/>
              <w:rPr>
                <w:rFonts w:hint="eastAsia" w:ascii="微软雅黑" w:hAnsi="微软雅黑" w:eastAsia="微软雅黑" w:cs="微软雅黑"/>
                <w:color w:val="auto"/>
                <w:kern w:val="0"/>
                <w:sz w:val="24"/>
                <w:lang w:eastAsia="zh-CN"/>
              </w:rPr>
            </w:pPr>
            <w:r>
              <w:rPr>
                <w:rFonts w:hint="eastAsia" w:ascii="微软雅黑" w:hAnsi="微软雅黑" w:eastAsia="微软雅黑" w:cs="微软雅黑"/>
                <w:color w:val="auto"/>
                <w:kern w:val="0"/>
                <w:sz w:val="24"/>
              </w:rPr>
              <w:t>2.</w:t>
            </w:r>
            <w:r>
              <w:rPr>
                <w:rFonts w:hint="eastAsia" w:ascii="微软雅黑" w:hAnsi="微软雅黑" w:eastAsia="微软雅黑" w:cs="微软雅黑"/>
                <w:color w:val="auto"/>
                <w:kern w:val="0"/>
                <w:sz w:val="24"/>
                <w:lang w:val="en-US" w:eastAsia="zh-CN"/>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030BFC1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检测项目：干化学检测项目包含但不限于pH、过氧化氢、白细胞酯酶、唾液酸苷酶、N-乙酰氨基葡萄糖苷酶。有形成分检测项目须包含但不限于白细胞、红细胞、上皮细胞、线索细胞、杆菌、球菌、杂菌、滴虫、真菌。</w:t>
            </w:r>
          </w:p>
        </w:tc>
      </w:tr>
      <w:tr w14:paraId="51C14234">
        <w:tblPrEx>
          <w:tblCellMar>
            <w:top w:w="0" w:type="dxa"/>
            <w:left w:w="108" w:type="dxa"/>
            <w:bottom w:w="0" w:type="dxa"/>
            <w:right w:w="108" w:type="dxa"/>
          </w:tblCellMar>
        </w:tblPrEx>
        <w:trPr>
          <w:trHeight w:val="110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32EE551">
            <w:pPr>
              <w:spacing w:line="360" w:lineRule="auto"/>
              <w:jc w:val="both"/>
              <w:rPr>
                <w:rFonts w:hint="eastAsia" w:ascii="微软雅黑" w:hAnsi="微软雅黑" w:eastAsia="微软雅黑" w:cs="微软雅黑"/>
                <w:color w:val="auto"/>
                <w:kern w:val="0"/>
                <w:sz w:val="24"/>
                <w:lang w:eastAsia="zh-CN"/>
              </w:rPr>
            </w:pPr>
            <w:r>
              <w:rPr>
                <w:rFonts w:hint="eastAsia" w:ascii="微软雅黑" w:hAnsi="微软雅黑" w:eastAsia="微软雅黑" w:cs="微软雅黑"/>
                <w:color w:val="auto"/>
                <w:kern w:val="0"/>
                <w:sz w:val="24"/>
              </w:rPr>
              <w:t>2.</w:t>
            </w:r>
            <w:r>
              <w:rPr>
                <w:rFonts w:hint="eastAsia" w:ascii="微软雅黑" w:hAnsi="微软雅黑" w:eastAsia="微软雅黑" w:cs="微软雅黑"/>
                <w:color w:val="auto"/>
                <w:kern w:val="0"/>
                <w:sz w:val="24"/>
                <w:lang w:val="en-US" w:eastAsia="zh-CN"/>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2920289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联合检测速度≥60个标本/小时；干化学检测速度≥60个样本/小时；有形成分分析速度≥60个样本/小时。</w:t>
            </w:r>
          </w:p>
        </w:tc>
      </w:tr>
      <w:tr w14:paraId="78F7802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7E15A49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w:t>
            </w:r>
          </w:p>
        </w:tc>
        <w:tc>
          <w:tcPr>
            <w:tcW w:w="7479" w:type="dxa"/>
            <w:tcBorders>
              <w:top w:val="single" w:color="000000" w:sz="4" w:space="0"/>
              <w:left w:val="single" w:color="000000" w:sz="4" w:space="0"/>
              <w:bottom w:val="single" w:color="000000" w:sz="4" w:space="0"/>
              <w:right w:val="single" w:color="000000" w:sz="4" w:space="0"/>
            </w:tcBorders>
            <w:vAlign w:val="center"/>
          </w:tcPr>
          <w:p w14:paraId="1F57738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 xml:space="preserve">全自动粪便分析系统    </w:t>
            </w:r>
          </w:p>
        </w:tc>
      </w:tr>
      <w:tr w14:paraId="65395E91">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9FCDD11">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3.1</w:t>
            </w:r>
          </w:p>
        </w:tc>
        <w:tc>
          <w:tcPr>
            <w:tcW w:w="7479" w:type="dxa"/>
            <w:tcBorders>
              <w:top w:val="single" w:color="000000" w:sz="4" w:space="0"/>
              <w:left w:val="single" w:color="000000" w:sz="4" w:space="0"/>
              <w:bottom w:val="single" w:color="000000" w:sz="4" w:space="0"/>
              <w:right w:val="single" w:color="000000" w:sz="4" w:space="0"/>
            </w:tcBorders>
            <w:vAlign w:val="center"/>
          </w:tcPr>
          <w:p w14:paraId="04B9C14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标本处理：自动稀释，旋转混匀（混匀旋转速度可调），过滤。</w:t>
            </w:r>
          </w:p>
        </w:tc>
      </w:tr>
      <w:tr w14:paraId="45241300">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4EDD856">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3.2</w:t>
            </w:r>
          </w:p>
        </w:tc>
        <w:tc>
          <w:tcPr>
            <w:tcW w:w="7479" w:type="dxa"/>
            <w:tcBorders>
              <w:top w:val="single" w:color="000000" w:sz="4" w:space="0"/>
              <w:left w:val="single" w:color="000000" w:sz="4" w:space="0"/>
              <w:bottom w:val="single" w:color="000000" w:sz="4" w:space="0"/>
              <w:right w:val="single" w:color="000000" w:sz="4" w:space="0"/>
            </w:tcBorders>
            <w:vAlign w:val="center"/>
          </w:tcPr>
          <w:p w14:paraId="13913828">
            <w:pPr>
              <w:tabs>
                <w:tab w:val="left" w:pos="716"/>
              </w:tabs>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采集杯：采用旋转螺纹拧盖方式，吸样针从上往下穿刺注入稀释液和采样检测。</w:t>
            </w:r>
          </w:p>
        </w:tc>
      </w:tr>
      <w:tr w14:paraId="3B1E95F9">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3F9B0E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3.3</w:t>
            </w:r>
          </w:p>
        </w:tc>
        <w:tc>
          <w:tcPr>
            <w:tcW w:w="7479" w:type="dxa"/>
            <w:tcBorders>
              <w:top w:val="single" w:color="000000" w:sz="4" w:space="0"/>
              <w:left w:val="single" w:color="000000" w:sz="4" w:space="0"/>
              <w:bottom w:val="single" w:color="000000" w:sz="4" w:space="0"/>
              <w:right w:val="single" w:color="000000" w:sz="4" w:space="0"/>
            </w:tcBorders>
            <w:vAlign w:val="center"/>
          </w:tcPr>
          <w:p w14:paraId="6D03855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急诊功能：设急诊位，急诊标本随到随检，急诊标本单独在急诊位进行检测。</w:t>
            </w:r>
          </w:p>
        </w:tc>
      </w:tr>
      <w:tr w14:paraId="313DB4FA">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F6C3C9D">
            <w:pPr>
              <w:spacing w:line="360" w:lineRule="auto"/>
              <w:jc w:val="both"/>
              <w:rPr>
                <w:rFonts w:ascii="微软雅黑" w:hAnsi="微软雅黑" w:eastAsia="微软雅黑" w:cs="微软雅黑"/>
                <w:b/>
                <w:bCs/>
                <w:color w:val="auto"/>
                <w:kern w:val="0"/>
                <w:sz w:val="24"/>
              </w:rPr>
            </w:pPr>
            <w:r>
              <w:rPr>
                <w:rFonts w:hint="eastAsia" w:ascii="微软雅黑" w:hAnsi="微软雅黑" w:eastAsia="微软雅黑" w:cs="微软雅黑"/>
                <w:b/>
                <w:bCs/>
                <w:color w:val="auto"/>
                <w:kern w:val="0"/>
                <w:sz w:val="24"/>
              </w:rPr>
              <w:t>（七）</w:t>
            </w:r>
          </w:p>
        </w:tc>
        <w:tc>
          <w:tcPr>
            <w:tcW w:w="7479" w:type="dxa"/>
            <w:tcBorders>
              <w:top w:val="single" w:color="000000" w:sz="4" w:space="0"/>
              <w:left w:val="single" w:color="000000" w:sz="4" w:space="0"/>
              <w:bottom w:val="single" w:color="000000" w:sz="4" w:space="0"/>
              <w:right w:val="single" w:color="000000" w:sz="4" w:space="0"/>
            </w:tcBorders>
            <w:vAlign w:val="center"/>
          </w:tcPr>
          <w:p w14:paraId="165E0DA2">
            <w:pPr>
              <w:spacing w:line="360" w:lineRule="auto"/>
              <w:jc w:val="both"/>
              <w:rPr>
                <w:rFonts w:ascii="微软雅黑" w:hAnsi="微软雅黑" w:eastAsia="微软雅黑" w:cs="微软雅黑"/>
                <w:b/>
                <w:bCs/>
                <w:color w:val="auto"/>
                <w:kern w:val="0"/>
                <w:sz w:val="24"/>
              </w:rPr>
            </w:pPr>
            <w:r>
              <w:rPr>
                <w:rFonts w:hint="eastAsia" w:ascii="微软雅黑" w:hAnsi="微软雅黑" w:eastAsia="微软雅黑" w:cs="微软雅黑"/>
                <w:b/>
                <w:bCs/>
                <w:color w:val="auto"/>
                <w:kern w:val="0"/>
                <w:sz w:val="24"/>
              </w:rPr>
              <w:t>微生物检测系统1套（设备清单第8、第9、第10、第11、第12项）（以下容量、处理速度要求，如无特殊说明的，均为单台设备或单套系统要求）</w:t>
            </w:r>
          </w:p>
        </w:tc>
      </w:tr>
      <w:tr w14:paraId="074640B5">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754AC5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7664776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微生物样本前处理</w:t>
            </w:r>
          </w:p>
        </w:tc>
      </w:tr>
      <w:tr w14:paraId="278722A1">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D2D048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1.1</w:t>
            </w:r>
          </w:p>
        </w:tc>
        <w:tc>
          <w:tcPr>
            <w:tcW w:w="7479" w:type="dxa"/>
            <w:tcBorders>
              <w:top w:val="single" w:color="000000" w:sz="4" w:space="0"/>
              <w:left w:val="single" w:color="000000" w:sz="4" w:space="0"/>
              <w:bottom w:val="single" w:color="000000" w:sz="4" w:space="0"/>
              <w:right w:val="single" w:color="000000" w:sz="4" w:space="0"/>
            </w:tcBorders>
            <w:vAlign w:val="center"/>
          </w:tcPr>
          <w:p w14:paraId="3314297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最高接种速度≥150块/小时，平板载入量≥5种165块，支持不停机添加。</w:t>
            </w:r>
          </w:p>
        </w:tc>
      </w:tr>
      <w:tr w14:paraId="6904DCF6">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6484C0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1.2</w:t>
            </w:r>
          </w:p>
        </w:tc>
        <w:tc>
          <w:tcPr>
            <w:tcW w:w="7479" w:type="dxa"/>
            <w:tcBorders>
              <w:top w:val="single" w:color="000000" w:sz="4" w:space="0"/>
              <w:left w:val="single" w:color="000000" w:sz="4" w:space="0"/>
              <w:bottom w:val="single" w:color="000000" w:sz="4" w:space="0"/>
              <w:right w:val="single" w:color="000000" w:sz="4" w:space="0"/>
            </w:tcBorders>
            <w:vAlign w:val="center"/>
          </w:tcPr>
          <w:p w14:paraId="1E98DA8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接种方式：加样吸头定量接种，接种量可根据用户需求选择，具备堵针检测、空吸检测和漏加报警功能，避免样本漏加风险。</w:t>
            </w:r>
          </w:p>
        </w:tc>
      </w:tr>
      <w:tr w14:paraId="0D00B429">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7A9DBAB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1.3</w:t>
            </w:r>
          </w:p>
        </w:tc>
        <w:tc>
          <w:tcPr>
            <w:tcW w:w="7479" w:type="dxa"/>
            <w:tcBorders>
              <w:top w:val="single" w:color="000000" w:sz="4" w:space="0"/>
              <w:left w:val="single" w:color="000000" w:sz="4" w:space="0"/>
              <w:bottom w:val="single" w:color="000000" w:sz="4" w:space="0"/>
              <w:right w:val="single" w:color="000000" w:sz="4" w:space="0"/>
            </w:tcBorders>
            <w:vAlign w:val="center"/>
          </w:tcPr>
          <w:p w14:paraId="1011915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适配培养皿：90mm直径标准培养皿，无需载具即可直接加载仪器，完成接种。</w:t>
            </w:r>
          </w:p>
        </w:tc>
      </w:tr>
      <w:tr w14:paraId="559B09C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F0C334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421909D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 xml:space="preserve">全自动细菌分枝杆菌培养监测系统  </w:t>
            </w:r>
          </w:p>
        </w:tc>
      </w:tr>
      <w:tr w14:paraId="1A8E4D7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7D298C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2.1</w:t>
            </w:r>
          </w:p>
        </w:tc>
        <w:tc>
          <w:tcPr>
            <w:tcW w:w="7479" w:type="dxa"/>
            <w:tcBorders>
              <w:top w:val="single" w:color="000000" w:sz="4" w:space="0"/>
              <w:left w:val="single" w:color="000000" w:sz="4" w:space="0"/>
              <w:bottom w:val="single" w:color="000000" w:sz="4" w:space="0"/>
              <w:right w:val="single" w:color="000000" w:sz="4" w:space="0"/>
            </w:tcBorders>
            <w:vAlign w:val="center"/>
          </w:tcPr>
          <w:p w14:paraId="253C6F8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检测原理：比色法。</w:t>
            </w:r>
          </w:p>
        </w:tc>
      </w:tr>
      <w:tr w14:paraId="0CE006C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03F2233">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2.2</w:t>
            </w:r>
          </w:p>
        </w:tc>
        <w:tc>
          <w:tcPr>
            <w:tcW w:w="7479" w:type="dxa"/>
            <w:tcBorders>
              <w:top w:val="single" w:color="000000" w:sz="4" w:space="0"/>
              <w:left w:val="single" w:color="000000" w:sz="4" w:space="0"/>
              <w:bottom w:val="single" w:color="000000" w:sz="4" w:space="0"/>
              <w:right w:val="single" w:color="000000" w:sz="4" w:space="0"/>
            </w:tcBorders>
            <w:vAlign w:val="center"/>
          </w:tcPr>
          <w:p w14:paraId="710FF96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标本位：单机检测瓶位≥60个，可拓展至350瓶位以上。</w:t>
            </w:r>
          </w:p>
        </w:tc>
      </w:tr>
      <w:tr w14:paraId="326B310F">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9713E8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2.3</w:t>
            </w:r>
          </w:p>
        </w:tc>
        <w:tc>
          <w:tcPr>
            <w:tcW w:w="7479" w:type="dxa"/>
            <w:tcBorders>
              <w:top w:val="single" w:color="000000" w:sz="4" w:space="0"/>
              <w:left w:val="single" w:color="000000" w:sz="4" w:space="0"/>
              <w:bottom w:val="single" w:color="000000" w:sz="4" w:space="0"/>
              <w:right w:val="single" w:color="000000" w:sz="4" w:space="0"/>
            </w:tcBorders>
            <w:vAlign w:val="center"/>
          </w:tcPr>
          <w:p w14:paraId="5878EEB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样本类型：可检测临床血液、体液等标本类型。</w:t>
            </w:r>
          </w:p>
        </w:tc>
      </w:tr>
      <w:tr w14:paraId="5769151C">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545DDF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2.4</w:t>
            </w:r>
          </w:p>
        </w:tc>
        <w:tc>
          <w:tcPr>
            <w:tcW w:w="7479" w:type="dxa"/>
            <w:tcBorders>
              <w:top w:val="single" w:color="000000" w:sz="4" w:space="0"/>
              <w:left w:val="single" w:color="000000" w:sz="4" w:space="0"/>
              <w:bottom w:val="single" w:color="000000" w:sz="4" w:space="0"/>
              <w:right w:val="single" w:color="000000" w:sz="4" w:space="0"/>
            </w:tcBorders>
            <w:vAlign w:val="center"/>
          </w:tcPr>
          <w:p w14:paraId="746164E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检测菌株：检测菌种种类包括：需氧菌、厌氧菌、真菌和分枝杆菌。</w:t>
            </w:r>
          </w:p>
        </w:tc>
      </w:tr>
      <w:tr w14:paraId="6CB250D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755BC4AF">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w:t>
            </w:r>
          </w:p>
        </w:tc>
        <w:tc>
          <w:tcPr>
            <w:tcW w:w="7479" w:type="dxa"/>
            <w:tcBorders>
              <w:top w:val="single" w:color="000000" w:sz="4" w:space="0"/>
              <w:left w:val="single" w:color="000000" w:sz="4" w:space="0"/>
              <w:bottom w:val="single" w:color="000000" w:sz="4" w:space="0"/>
              <w:right w:val="single" w:color="000000" w:sz="4" w:space="0"/>
            </w:tcBorders>
            <w:vAlign w:val="center"/>
          </w:tcPr>
          <w:p w14:paraId="5C9574E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 xml:space="preserve">全自动微生物鉴定及药敏分析系统   </w:t>
            </w:r>
          </w:p>
        </w:tc>
      </w:tr>
      <w:tr w14:paraId="162C4B5E">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FD3B47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3.1</w:t>
            </w:r>
          </w:p>
        </w:tc>
        <w:tc>
          <w:tcPr>
            <w:tcW w:w="7479" w:type="dxa"/>
            <w:tcBorders>
              <w:top w:val="single" w:color="000000" w:sz="4" w:space="0"/>
              <w:left w:val="single" w:color="000000" w:sz="4" w:space="0"/>
              <w:bottom w:val="single" w:color="000000" w:sz="4" w:space="0"/>
              <w:right w:val="single" w:color="000000" w:sz="4" w:space="0"/>
            </w:tcBorders>
            <w:vAlign w:val="center"/>
          </w:tcPr>
          <w:p w14:paraId="47BF6FAE">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鉴定原理：采用生化反应法，对分离出的微生物进行鉴定。</w:t>
            </w:r>
          </w:p>
        </w:tc>
      </w:tr>
      <w:tr w14:paraId="2FCEF279">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C5410DE">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3.2</w:t>
            </w:r>
          </w:p>
        </w:tc>
        <w:tc>
          <w:tcPr>
            <w:tcW w:w="7479" w:type="dxa"/>
            <w:tcBorders>
              <w:top w:val="single" w:color="000000" w:sz="4" w:space="0"/>
              <w:left w:val="single" w:color="000000" w:sz="4" w:space="0"/>
              <w:bottom w:val="single" w:color="000000" w:sz="4" w:space="0"/>
              <w:right w:val="single" w:color="000000" w:sz="4" w:space="0"/>
            </w:tcBorders>
            <w:vAlign w:val="center"/>
          </w:tcPr>
          <w:p w14:paraId="0017E593">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药敏检测方法：以微量肉汤稀释法为基础，采用氧化还原方法（比色）、比浊法测定抗生素最低抑菌浓度（MIC）。</w:t>
            </w:r>
          </w:p>
        </w:tc>
      </w:tr>
      <w:tr w14:paraId="0839594E">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138DD0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3.3</w:t>
            </w:r>
          </w:p>
        </w:tc>
        <w:tc>
          <w:tcPr>
            <w:tcW w:w="7479" w:type="dxa"/>
            <w:tcBorders>
              <w:top w:val="single" w:color="000000" w:sz="4" w:space="0"/>
              <w:left w:val="single" w:color="000000" w:sz="4" w:space="0"/>
              <w:bottom w:val="single" w:color="000000" w:sz="4" w:space="0"/>
              <w:right w:val="single" w:color="000000" w:sz="4" w:space="0"/>
            </w:tcBorders>
            <w:vAlign w:val="center"/>
          </w:tcPr>
          <w:p w14:paraId="6D84518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具备加样模块、孵育模块、检测模块，动态法连续监测结果。</w:t>
            </w:r>
          </w:p>
        </w:tc>
      </w:tr>
      <w:tr w14:paraId="309BDFC0">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B23B91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3.4</w:t>
            </w:r>
          </w:p>
        </w:tc>
        <w:tc>
          <w:tcPr>
            <w:tcW w:w="7479" w:type="dxa"/>
            <w:tcBorders>
              <w:top w:val="single" w:color="000000" w:sz="4" w:space="0"/>
              <w:left w:val="single" w:color="000000" w:sz="4" w:space="0"/>
              <w:bottom w:val="single" w:color="000000" w:sz="4" w:space="0"/>
              <w:right w:val="single" w:color="000000" w:sz="4" w:space="0"/>
            </w:tcBorders>
            <w:vAlign w:val="center"/>
          </w:tcPr>
          <w:p w14:paraId="448154B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具备条码阅读器模块，可自动识别板卡信息。</w:t>
            </w:r>
          </w:p>
        </w:tc>
      </w:tr>
      <w:tr w14:paraId="481FD931">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6E39879">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w:t>
            </w:r>
          </w:p>
        </w:tc>
        <w:tc>
          <w:tcPr>
            <w:tcW w:w="7479" w:type="dxa"/>
            <w:tcBorders>
              <w:top w:val="single" w:color="000000" w:sz="4" w:space="0"/>
              <w:left w:val="single" w:color="000000" w:sz="4" w:space="0"/>
              <w:bottom w:val="single" w:color="000000" w:sz="4" w:space="0"/>
              <w:right w:val="single" w:color="000000" w:sz="4" w:space="0"/>
            </w:tcBorders>
            <w:vAlign w:val="center"/>
          </w:tcPr>
          <w:p w14:paraId="445D3DF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 xml:space="preserve">全自动快速生物质谱检测系统 </w:t>
            </w:r>
          </w:p>
        </w:tc>
      </w:tr>
      <w:tr w14:paraId="7535166D">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8DC152E">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4.1</w:t>
            </w:r>
          </w:p>
        </w:tc>
        <w:tc>
          <w:tcPr>
            <w:tcW w:w="7479" w:type="dxa"/>
            <w:tcBorders>
              <w:top w:val="single" w:color="000000" w:sz="4" w:space="0"/>
              <w:left w:val="single" w:color="000000" w:sz="4" w:space="0"/>
              <w:bottom w:val="single" w:color="000000" w:sz="4" w:space="0"/>
              <w:right w:val="single" w:color="000000" w:sz="4" w:space="0"/>
            </w:tcBorders>
            <w:vAlign w:val="center"/>
          </w:tcPr>
          <w:p w14:paraId="7E253A2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用于（细菌，丝状真菌，酵母，分枝杆菌等）样品的快速鉴定。</w:t>
            </w:r>
          </w:p>
        </w:tc>
      </w:tr>
      <w:tr w14:paraId="192E8872">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0AA443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4.2</w:t>
            </w:r>
          </w:p>
        </w:tc>
        <w:tc>
          <w:tcPr>
            <w:tcW w:w="7479" w:type="dxa"/>
            <w:tcBorders>
              <w:top w:val="single" w:color="000000" w:sz="4" w:space="0"/>
              <w:left w:val="single" w:color="000000" w:sz="4" w:space="0"/>
              <w:bottom w:val="single" w:color="000000" w:sz="4" w:space="0"/>
              <w:right w:val="single" w:color="000000" w:sz="4" w:space="0"/>
            </w:tcBorders>
            <w:vAlign w:val="center"/>
          </w:tcPr>
          <w:p w14:paraId="6F07CC1E">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离子源：离子源无需清洗，方便日常维护。</w:t>
            </w:r>
          </w:p>
        </w:tc>
      </w:tr>
      <w:tr w14:paraId="73036466">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9354679">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5</w:t>
            </w:r>
          </w:p>
        </w:tc>
        <w:tc>
          <w:tcPr>
            <w:tcW w:w="7479" w:type="dxa"/>
            <w:tcBorders>
              <w:top w:val="single" w:color="000000" w:sz="4" w:space="0"/>
              <w:left w:val="single" w:color="000000" w:sz="4" w:space="0"/>
              <w:bottom w:val="single" w:color="000000" w:sz="4" w:space="0"/>
              <w:right w:val="single" w:color="000000" w:sz="4" w:space="0"/>
            </w:tcBorders>
            <w:vAlign w:val="center"/>
          </w:tcPr>
          <w:p w14:paraId="7BDD474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质谱加样系统</w:t>
            </w:r>
          </w:p>
        </w:tc>
      </w:tr>
      <w:tr w14:paraId="13CE36E7">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42F8A86">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5.1</w:t>
            </w:r>
          </w:p>
        </w:tc>
        <w:tc>
          <w:tcPr>
            <w:tcW w:w="7479" w:type="dxa"/>
            <w:tcBorders>
              <w:top w:val="single" w:color="000000" w:sz="4" w:space="0"/>
              <w:left w:val="single" w:color="000000" w:sz="4" w:space="0"/>
              <w:bottom w:val="single" w:color="000000" w:sz="4" w:space="0"/>
              <w:right w:val="single" w:color="000000" w:sz="4" w:space="0"/>
            </w:tcBorders>
            <w:vAlign w:val="center"/>
          </w:tcPr>
          <w:p w14:paraId="0EE21F0F">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多种点样模式：直涂法、扩展法、提取法.</w:t>
            </w:r>
          </w:p>
        </w:tc>
      </w:tr>
      <w:tr w14:paraId="0C8C83DE">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91CF516">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5.2</w:t>
            </w:r>
          </w:p>
        </w:tc>
        <w:tc>
          <w:tcPr>
            <w:tcW w:w="7479" w:type="dxa"/>
            <w:tcBorders>
              <w:top w:val="single" w:color="000000" w:sz="4" w:space="0"/>
              <w:left w:val="single" w:color="000000" w:sz="4" w:space="0"/>
              <w:bottom w:val="single" w:color="000000" w:sz="4" w:space="0"/>
              <w:right w:val="single" w:color="000000" w:sz="4" w:space="0"/>
            </w:tcBorders>
            <w:vAlign w:val="center"/>
          </w:tcPr>
          <w:p w14:paraId="16F33D8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速度：每小时连续加样不少于800个。</w:t>
            </w:r>
          </w:p>
        </w:tc>
      </w:tr>
      <w:tr w14:paraId="46F59E66">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5AB9FF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5.3</w:t>
            </w:r>
          </w:p>
        </w:tc>
        <w:tc>
          <w:tcPr>
            <w:tcW w:w="7479" w:type="dxa"/>
            <w:tcBorders>
              <w:top w:val="single" w:color="000000" w:sz="4" w:space="0"/>
              <w:left w:val="single" w:color="000000" w:sz="4" w:space="0"/>
              <w:bottom w:val="single" w:color="000000" w:sz="4" w:space="0"/>
              <w:right w:val="single" w:color="000000" w:sz="4" w:space="0"/>
            </w:tcBorders>
            <w:vAlign w:val="center"/>
          </w:tcPr>
          <w:p w14:paraId="24255333">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加样范围包括但不限于1ul-200ul。</w:t>
            </w:r>
          </w:p>
        </w:tc>
      </w:tr>
      <w:tr w14:paraId="23EBC395">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7CA84D9">
            <w:pPr>
              <w:spacing w:line="360" w:lineRule="auto"/>
              <w:jc w:val="both"/>
              <w:rPr>
                <w:rFonts w:ascii="微软雅黑" w:hAnsi="微软雅黑" w:eastAsia="微软雅黑" w:cs="微软雅黑"/>
                <w:b/>
                <w:bCs/>
                <w:color w:val="auto"/>
                <w:kern w:val="0"/>
                <w:sz w:val="24"/>
              </w:rPr>
            </w:pPr>
            <w:r>
              <w:rPr>
                <w:rFonts w:hint="eastAsia" w:ascii="微软雅黑" w:hAnsi="微软雅黑" w:eastAsia="微软雅黑" w:cs="微软雅黑"/>
                <w:b/>
                <w:bCs/>
                <w:color w:val="auto"/>
                <w:kern w:val="0"/>
                <w:sz w:val="24"/>
              </w:rPr>
              <w:t>（八）</w:t>
            </w:r>
          </w:p>
        </w:tc>
        <w:tc>
          <w:tcPr>
            <w:tcW w:w="7479" w:type="dxa"/>
            <w:tcBorders>
              <w:top w:val="single" w:color="000000" w:sz="4" w:space="0"/>
              <w:left w:val="single" w:color="000000" w:sz="4" w:space="0"/>
              <w:bottom w:val="single" w:color="000000" w:sz="4" w:space="0"/>
              <w:right w:val="single" w:color="000000" w:sz="4" w:space="0"/>
            </w:tcBorders>
            <w:vAlign w:val="center"/>
          </w:tcPr>
          <w:p w14:paraId="0F5751DA">
            <w:pPr>
              <w:spacing w:line="360" w:lineRule="auto"/>
              <w:jc w:val="both"/>
              <w:rPr>
                <w:rFonts w:ascii="微软雅黑" w:hAnsi="微软雅黑" w:eastAsia="微软雅黑" w:cs="微软雅黑"/>
                <w:b/>
                <w:bCs/>
                <w:color w:val="auto"/>
                <w:kern w:val="0"/>
                <w:sz w:val="24"/>
              </w:rPr>
            </w:pPr>
            <w:r>
              <w:rPr>
                <w:rFonts w:hint="eastAsia" w:ascii="微软雅黑" w:hAnsi="微软雅黑" w:eastAsia="微软雅黑" w:cs="微软雅黑"/>
                <w:b/>
                <w:bCs/>
                <w:color w:val="auto"/>
                <w:kern w:val="0"/>
                <w:sz w:val="24"/>
              </w:rPr>
              <w:t>其他检测设备（设备清单第13、第14、第15、第16、第17、第18</w:t>
            </w:r>
            <w:r>
              <w:rPr>
                <w:rFonts w:hint="eastAsia" w:ascii="微软雅黑" w:hAnsi="微软雅黑" w:eastAsia="微软雅黑" w:cs="微软雅黑"/>
                <w:b/>
                <w:bCs/>
                <w:color w:val="auto"/>
                <w:kern w:val="0"/>
                <w:sz w:val="24"/>
                <w:lang w:val="en-US" w:eastAsia="zh-CN"/>
              </w:rPr>
              <w:t>和</w:t>
            </w:r>
            <w:r>
              <w:rPr>
                <w:rFonts w:hint="eastAsia" w:ascii="微软雅黑" w:hAnsi="微软雅黑" w:eastAsia="微软雅黑" w:cs="微软雅黑"/>
                <w:b/>
                <w:bCs/>
                <w:color w:val="auto"/>
                <w:kern w:val="0"/>
                <w:sz w:val="24"/>
              </w:rPr>
              <w:t>第</w:t>
            </w:r>
            <w:r>
              <w:rPr>
                <w:rFonts w:hint="eastAsia" w:ascii="微软雅黑" w:hAnsi="微软雅黑" w:eastAsia="微软雅黑" w:cs="微软雅黑"/>
                <w:b/>
                <w:bCs/>
                <w:color w:val="auto"/>
                <w:kern w:val="0"/>
                <w:sz w:val="24"/>
                <w:lang w:val="en-US" w:eastAsia="zh-CN"/>
              </w:rPr>
              <w:t>20</w:t>
            </w:r>
            <w:r>
              <w:rPr>
                <w:rFonts w:hint="eastAsia" w:ascii="微软雅黑" w:hAnsi="微软雅黑" w:eastAsia="微软雅黑" w:cs="微软雅黑"/>
                <w:b/>
                <w:bCs/>
                <w:color w:val="auto"/>
                <w:kern w:val="0"/>
                <w:sz w:val="24"/>
              </w:rPr>
              <w:t>项）（以下容量、处理速度要求，如无特殊说明的，均为单台设备或单套系统要求）</w:t>
            </w:r>
          </w:p>
        </w:tc>
      </w:tr>
      <w:tr w14:paraId="4B78C00F">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6BAE52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w:t>
            </w:r>
          </w:p>
        </w:tc>
        <w:tc>
          <w:tcPr>
            <w:tcW w:w="7479" w:type="dxa"/>
            <w:tcBorders>
              <w:top w:val="single" w:color="000000" w:sz="4" w:space="0"/>
              <w:left w:val="single" w:color="000000" w:sz="4" w:space="0"/>
              <w:bottom w:val="single" w:color="000000" w:sz="4" w:space="0"/>
              <w:right w:val="single" w:color="000000" w:sz="4" w:space="0"/>
            </w:tcBorders>
            <w:vAlign w:val="center"/>
          </w:tcPr>
          <w:p w14:paraId="6AF4C6B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全自动分子诊断系统   1套</w:t>
            </w:r>
          </w:p>
        </w:tc>
      </w:tr>
      <w:tr w14:paraId="36F09B83">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726CEE4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1.1</w:t>
            </w:r>
          </w:p>
        </w:tc>
        <w:tc>
          <w:tcPr>
            <w:tcW w:w="7479" w:type="dxa"/>
            <w:tcBorders>
              <w:top w:val="single" w:color="000000" w:sz="4" w:space="0"/>
              <w:left w:val="single" w:color="000000" w:sz="4" w:space="0"/>
              <w:bottom w:val="single" w:color="000000" w:sz="4" w:space="0"/>
              <w:right w:val="single" w:color="000000" w:sz="4" w:space="0"/>
            </w:tcBorders>
            <w:vAlign w:val="center"/>
          </w:tcPr>
          <w:p w14:paraId="57FD995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检测项目：新型冠状病毒 2019-nCoV、甲型流感病毒、乙型流感病毒、呼吸道合胞病毒</w:t>
            </w:r>
          </w:p>
        </w:tc>
      </w:tr>
      <w:tr w14:paraId="6C7144B8">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78AC29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1.2</w:t>
            </w:r>
          </w:p>
        </w:tc>
        <w:tc>
          <w:tcPr>
            <w:tcW w:w="7479" w:type="dxa"/>
            <w:tcBorders>
              <w:top w:val="single" w:color="000000" w:sz="4" w:space="0"/>
              <w:left w:val="single" w:color="000000" w:sz="4" w:space="0"/>
              <w:bottom w:val="single" w:color="000000" w:sz="4" w:space="0"/>
              <w:right w:val="single" w:color="000000" w:sz="4" w:space="0"/>
            </w:tcBorders>
            <w:vAlign w:val="center"/>
          </w:tcPr>
          <w:p w14:paraId="3156DD37">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检测方法：PCR荧光法</w:t>
            </w:r>
          </w:p>
        </w:tc>
      </w:tr>
      <w:tr w14:paraId="1E724DFC">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2C3C6D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w:t>
            </w:r>
          </w:p>
        </w:tc>
        <w:tc>
          <w:tcPr>
            <w:tcW w:w="7479" w:type="dxa"/>
            <w:tcBorders>
              <w:top w:val="single" w:color="000000" w:sz="4" w:space="0"/>
              <w:left w:val="single" w:color="000000" w:sz="4" w:space="0"/>
              <w:bottom w:val="single" w:color="000000" w:sz="4" w:space="0"/>
              <w:right w:val="single" w:color="000000" w:sz="4" w:space="0"/>
            </w:tcBorders>
            <w:vAlign w:val="center"/>
          </w:tcPr>
          <w:p w14:paraId="1BAEDD73">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全自动血气分析仪  8台</w:t>
            </w:r>
          </w:p>
        </w:tc>
      </w:tr>
      <w:tr w14:paraId="5060F7AC">
        <w:tblPrEx>
          <w:tblCellMar>
            <w:top w:w="0" w:type="dxa"/>
            <w:left w:w="108" w:type="dxa"/>
            <w:bottom w:w="0" w:type="dxa"/>
            <w:right w:w="108" w:type="dxa"/>
          </w:tblCellMar>
        </w:tblPrEx>
        <w:trPr>
          <w:trHeight w:val="56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222681C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2.1</w:t>
            </w:r>
          </w:p>
        </w:tc>
        <w:tc>
          <w:tcPr>
            <w:tcW w:w="7479" w:type="dxa"/>
            <w:tcBorders>
              <w:top w:val="single" w:color="000000" w:sz="4" w:space="0"/>
              <w:left w:val="single" w:color="000000" w:sz="4" w:space="0"/>
              <w:bottom w:val="single" w:color="000000" w:sz="4" w:space="0"/>
              <w:right w:val="single" w:color="000000" w:sz="4" w:space="0"/>
            </w:tcBorders>
            <w:vAlign w:val="center"/>
          </w:tcPr>
          <w:p w14:paraId="3A4DA93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测量参数 : PH，PCO2，PO2 ，K，Na，Cl，Ca，Glu,Lac（乳酸），血氧（tHb，SO2%，FO2Hb、FHHb、FCOHb、FMetHb），Bar（大气压）</w:t>
            </w:r>
          </w:p>
        </w:tc>
      </w:tr>
      <w:tr w14:paraId="23A49E6A">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AA4E44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w:t>
            </w:r>
          </w:p>
        </w:tc>
        <w:tc>
          <w:tcPr>
            <w:tcW w:w="7479" w:type="dxa"/>
            <w:tcBorders>
              <w:top w:val="single" w:color="000000" w:sz="4" w:space="0"/>
              <w:left w:val="single" w:color="000000" w:sz="4" w:space="0"/>
              <w:bottom w:val="single" w:color="000000" w:sz="4" w:space="0"/>
              <w:right w:val="single" w:color="000000" w:sz="4" w:space="0"/>
            </w:tcBorders>
            <w:vAlign w:val="center"/>
          </w:tcPr>
          <w:p w14:paraId="72D655C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全自动流式细胞仪   2台</w:t>
            </w:r>
          </w:p>
        </w:tc>
      </w:tr>
      <w:tr w14:paraId="2C39D125">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7D5DFF21">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3.1</w:t>
            </w:r>
          </w:p>
        </w:tc>
        <w:tc>
          <w:tcPr>
            <w:tcW w:w="7479" w:type="dxa"/>
            <w:tcBorders>
              <w:top w:val="single" w:color="000000" w:sz="4" w:space="0"/>
              <w:left w:val="single" w:color="000000" w:sz="4" w:space="0"/>
              <w:bottom w:val="single" w:color="000000" w:sz="4" w:space="0"/>
              <w:right w:val="single" w:color="000000" w:sz="4" w:space="0"/>
            </w:tcBorders>
            <w:vAlign w:val="center"/>
          </w:tcPr>
          <w:p w14:paraId="1A117EC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激光器配置：蓝色激光、红色激光、紫色激光器</w:t>
            </w:r>
          </w:p>
        </w:tc>
      </w:tr>
      <w:tr w14:paraId="147A4760">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119300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3.2</w:t>
            </w:r>
          </w:p>
        </w:tc>
        <w:tc>
          <w:tcPr>
            <w:tcW w:w="7479" w:type="dxa"/>
            <w:tcBorders>
              <w:top w:val="single" w:color="000000" w:sz="4" w:space="0"/>
              <w:left w:val="single" w:color="000000" w:sz="4" w:space="0"/>
              <w:bottom w:val="single" w:color="000000" w:sz="4" w:space="0"/>
              <w:right w:val="single" w:color="000000" w:sz="4" w:space="0"/>
            </w:tcBorders>
            <w:vAlign w:val="center"/>
          </w:tcPr>
          <w:p w14:paraId="7E54C0E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采用固态激光器且激光器功率可调整。</w:t>
            </w:r>
          </w:p>
        </w:tc>
      </w:tr>
      <w:tr w14:paraId="309C916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210EA5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3.3</w:t>
            </w:r>
          </w:p>
        </w:tc>
        <w:tc>
          <w:tcPr>
            <w:tcW w:w="7479" w:type="dxa"/>
            <w:tcBorders>
              <w:top w:val="single" w:color="000000" w:sz="4" w:space="0"/>
              <w:left w:val="single" w:color="000000" w:sz="4" w:space="0"/>
              <w:bottom w:val="single" w:color="000000" w:sz="4" w:space="0"/>
              <w:right w:val="single" w:color="000000" w:sz="4" w:space="0"/>
            </w:tcBorders>
            <w:vAlign w:val="center"/>
          </w:tcPr>
          <w:p w14:paraId="4DFAFBD9">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荧光检测通道≥12个</w:t>
            </w:r>
          </w:p>
        </w:tc>
      </w:tr>
      <w:tr w14:paraId="11960A1A">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1838AB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3.4</w:t>
            </w:r>
          </w:p>
        </w:tc>
        <w:tc>
          <w:tcPr>
            <w:tcW w:w="7479" w:type="dxa"/>
            <w:tcBorders>
              <w:top w:val="single" w:color="000000" w:sz="4" w:space="0"/>
              <w:left w:val="single" w:color="000000" w:sz="4" w:space="0"/>
              <w:bottom w:val="single" w:color="000000" w:sz="4" w:space="0"/>
              <w:right w:val="single" w:color="000000" w:sz="4" w:space="0"/>
            </w:tcBorders>
            <w:vAlign w:val="center"/>
          </w:tcPr>
          <w:p w14:paraId="2E6C737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进样方式：采用非注射泵进样方式，以满足快速连续的进样要求。</w:t>
            </w:r>
          </w:p>
        </w:tc>
      </w:tr>
      <w:tr w14:paraId="71DAA3F1">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40E481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w:t>
            </w:r>
          </w:p>
        </w:tc>
        <w:tc>
          <w:tcPr>
            <w:tcW w:w="7479" w:type="dxa"/>
            <w:tcBorders>
              <w:top w:val="single" w:color="000000" w:sz="4" w:space="0"/>
              <w:left w:val="single" w:color="000000" w:sz="4" w:space="0"/>
              <w:bottom w:val="single" w:color="000000" w:sz="4" w:space="0"/>
              <w:right w:val="single" w:color="000000" w:sz="4" w:space="0"/>
            </w:tcBorders>
            <w:vAlign w:val="center"/>
          </w:tcPr>
          <w:p w14:paraId="72EFBAB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全自动血型分析仪     4台</w:t>
            </w:r>
          </w:p>
        </w:tc>
      </w:tr>
      <w:tr w14:paraId="2AAD676A">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BD04DD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4.1</w:t>
            </w:r>
          </w:p>
        </w:tc>
        <w:tc>
          <w:tcPr>
            <w:tcW w:w="7479" w:type="dxa"/>
            <w:tcBorders>
              <w:top w:val="single" w:color="000000" w:sz="4" w:space="0"/>
              <w:left w:val="single" w:color="000000" w:sz="4" w:space="0"/>
              <w:bottom w:val="single" w:color="000000" w:sz="4" w:space="0"/>
              <w:right w:val="single" w:color="000000" w:sz="4" w:space="0"/>
            </w:tcBorders>
            <w:vAlign w:val="center"/>
          </w:tcPr>
          <w:p w14:paraId="3147CDC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全自动完成ABO、Rh（D）血型及不规则抗体筛选、交叉配血等实验。从样品扫描、试剂卡装载、加样、稀释、加试剂、孵育、离心、判读结果，全部自动完成，无需人工干预。</w:t>
            </w:r>
          </w:p>
        </w:tc>
      </w:tr>
      <w:tr w14:paraId="4CD343DC">
        <w:tblPrEx>
          <w:tblCellMar>
            <w:top w:w="0" w:type="dxa"/>
            <w:left w:w="108" w:type="dxa"/>
            <w:bottom w:w="0" w:type="dxa"/>
            <w:right w:w="108" w:type="dxa"/>
          </w:tblCellMar>
        </w:tblPrEx>
        <w:trPr>
          <w:trHeight w:val="560"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965227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4.2</w:t>
            </w:r>
          </w:p>
        </w:tc>
        <w:tc>
          <w:tcPr>
            <w:tcW w:w="7479" w:type="dxa"/>
            <w:tcBorders>
              <w:top w:val="single" w:color="000000" w:sz="4" w:space="0"/>
              <w:left w:val="single" w:color="000000" w:sz="4" w:space="0"/>
              <w:bottom w:val="single" w:color="000000" w:sz="4" w:space="0"/>
              <w:right w:val="single" w:color="000000" w:sz="4" w:space="0"/>
            </w:tcBorders>
            <w:vAlign w:val="center"/>
          </w:tcPr>
          <w:p w14:paraId="17E87B6A">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 xml:space="preserve">≥2个加样通道，液体置换加样原理。采用固定式的永久性加样钢针，避免加样针耗材费用，保证气密性及便于吸取红细胞样本。 </w:t>
            </w:r>
          </w:p>
        </w:tc>
      </w:tr>
      <w:tr w14:paraId="5E6DC17B">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FDF2B28">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4.3</w:t>
            </w:r>
          </w:p>
        </w:tc>
        <w:tc>
          <w:tcPr>
            <w:tcW w:w="7479" w:type="dxa"/>
            <w:tcBorders>
              <w:top w:val="single" w:color="000000" w:sz="4" w:space="0"/>
              <w:left w:val="single" w:color="000000" w:sz="4" w:space="0"/>
              <w:bottom w:val="single" w:color="000000" w:sz="4" w:space="0"/>
              <w:right w:val="single" w:color="000000" w:sz="4" w:space="0"/>
            </w:tcBorders>
            <w:vAlign w:val="center"/>
          </w:tcPr>
          <w:p w14:paraId="0F878E60">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≥3个稀释板位，使用96孔深孔板稀释标本，仪器自动循环使用。</w:t>
            </w:r>
          </w:p>
        </w:tc>
      </w:tr>
      <w:tr w14:paraId="4536428A">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3A465E6">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4.4</w:t>
            </w:r>
          </w:p>
        </w:tc>
        <w:tc>
          <w:tcPr>
            <w:tcW w:w="7479" w:type="dxa"/>
            <w:tcBorders>
              <w:top w:val="single" w:color="000000" w:sz="4" w:space="0"/>
              <w:left w:val="single" w:color="000000" w:sz="4" w:space="0"/>
              <w:bottom w:val="single" w:color="000000" w:sz="4" w:space="0"/>
              <w:right w:val="single" w:color="000000" w:sz="4" w:space="0"/>
            </w:tcBorders>
            <w:vAlign w:val="center"/>
          </w:tcPr>
          <w:p w14:paraId="44E5F6B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具备独立的可疑卡位，不与新卡位共用，卡位数≥24个，对仪器自动判读难以确定结果的卡，自动在可疑卡位保留存储，以便人工识别判读。</w:t>
            </w:r>
          </w:p>
        </w:tc>
      </w:tr>
      <w:tr w14:paraId="582FA897">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4DA3783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5</w:t>
            </w:r>
          </w:p>
        </w:tc>
        <w:tc>
          <w:tcPr>
            <w:tcW w:w="7479" w:type="dxa"/>
            <w:tcBorders>
              <w:top w:val="single" w:color="000000" w:sz="4" w:space="0"/>
              <w:left w:val="single" w:color="000000" w:sz="4" w:space="0"/>
              <w:bottom w:val="single" w:color="000000" w:sz="4" w:space="0"/>
              <w:right w:val="single" w:color="000000" w:sz="4" w:space="0"/>
            </w:tcBorders>
            <w:vAlign w:val="center"/>
          </w:tcPr>
          <w:p w14:paraId="13484FF2">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全自动免疫印迹分析仪     1台</w:t>
            </w:r>
          </w:p>
        </w:tc>
      </w:tr>
      <w:tr w14:paraId="1D7E2AB0">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763931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5.1</w:t>
            </w:r>
          </w:p>
        </w:tc>
        <w:tc>
          <w:tcPr>
            <w:tcW w:w="7479" w:type="dxa"/>
            <w:tcBorders>
              <w:top w:val="single" w:color="000000" w:sz="4" w:space="0"/>
              <w:left w:val="single" w:color="000000" w:sz="4" w:space="0"/>
              <w:bottom w:val="single" w:color="000000" w:sz="4" w:space="0"/>
              <w:right w:val="single" w:color="000000" w:sz="4" w:space="0"/>
            </w:tcBorders>
            <w:vAlign w:val="center"/>
          </w:tcPr>
          <w:p w14:paraId="020F3C05">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检测原理：免疫印迹法和线性免疫印迹法。</w:t>
            </w:r>
          </w:p>
        </w:tc>
      </w:tr>
      <w:tr w14:paraId="3260609A">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0C38757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5.2</w:t>
            </w:r>
          </w:p>
        </w:tc>
        <w:tc>
          <w:tcPr>
            <w:tcW w:w="7479" w:type="dxa"/>
            <w:tcBorders>
              <w:top w:val="single" w:color="000000" w:sz="4" w:space="0"/>
              <w:left w:val="single" w:color="000000" w:sz="4" w:space="0"/>
              <w:bottom w:val="single" w:color="000000" w:sz="4" w:space="0"/>
              <w:right w:val="single" w:color="000000" w:sz="4" w:space="0"/>
            </w:tcBorders>
            <w:vAlign w:val="center"/>
          </w:tcPr>
          <w:p w14:paraId="6CFFF4D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可半定量检测血清中过敏原特异性IgE抗体。</w:t>
            </w:r>
          </w:p>
        </w:tc>
      </w:tr>
      <w:tr w14:paraId="02230261">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3666C9E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5.3</w:t>
            </w:r>
          </w:p>
        </w:tc>
        <w:tc>
          <w:tcPr>
            <w:tcW w:w="7479" w:type="dxa"/>
            <w:tcBorders>
              <w:top w:val="single" w:color="000000" w:sz="4" w:space="0"/>
              <w:left w:val="single" w:color="000000" w:sz="4" w:space="0"/>
              <w:bottom w:val="single" w:color="000000" w:sz="4" w:space="0"/>
              <w:right w:val="single" w:color="000000" w:sz="4" w:space="0"/>
            </w:tcBorders>
            <w:vAlign w:val="center"/>
          </w:tcPr>
          <w:p w14:paraId="205BF06B">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可开展自身抗体检测。</w:t>
            </w:r>
          </w:p>
        </w:tc>
      </w:tr>
      <w:tr w14:paraId="6C8093F4">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41EFDF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6</w:t>
            </w:r>
          </w:p>
        </w:tc>
        <w:tc>
          <w:tcPr>
            <w:tcW w:w="7479" w:type="dxa"/>
            <w:tcBorders>
              <w:top w:val="single" w:color="000000" w:sz="4" w:space="0"/>
              <w:left w:val="single" w:color="000000" w:sz="4" w:space="0"/>
              <w:bottom w:val="single" w:color="000000" w:sz="4" w:space="0"/>
              <w:right w:val="single" w:color="000000" w:sz="4" w:space="0"/>
            </w:tcBorders>
            <w:vAlign w:val="center"/>
          </w:tcPr>
          <w:p w14:paraId="04026F9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智能冷库（含试剂、样本，需物理隔离）1套</w:t>
            </w:r>
          </w:p>
        </w:tc>
      </w:tr>
      <w:tr w14:paraId="45DA4899">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1BB8E12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6.1</w:t>
            </w:r>
          </w:p>
        </w:tc>
        <w:tc>
          <w:tcPr>
            <w:tcW w:w="7479" w:type="dxa"/>
            <w:tcBorders>
              <w:top w:val="single" w:color="000000" w:sz="4" w:space="0"/>
              <w:left w:val="single" w:color="000000" w:sz="4" w:space="0"/>
              <w:bottom w:val="single" w:color="000000" w:sz="4" w:space="0"/>
              <w:right w:val="single" w:color="000000" w:sz="4" w:space="0"/>
            </w:tcBorders>
            <w:vAlign w:val="center"/>
          </w:tcPr>
          <w:p w14:paraId="1EA1F254">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智能冷库(试剂部分)全流程可追溯：每一次试剂的存取操作都会被系统记录，包括操作人员、时间、数量等，实现从入库到使用的全流程追溯，满足ISO15189等质量管理体系的要求。</w:t>
            </w:r>
          </w:p>
        </w:tc>
      </w:tr>
      <w:tr w14:paraId="7962D752">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21FE561">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6.2</w:t>
            </w:r>
          </w:p>
        </w:tc>
        <w:tc>
          <w:tcPr>
            <w:tcW w:w="7479" w:type="dxa"/>
            <w:tcBorders>
              <w:top w:val="single" w:color="000000" w:sz="4" w:space="0"/>
              <w:left w:val="single" w:color="000000" w:sz="4" w:space="0"/>
              <w:bottom w:val="single" w:color="000000" w:sz="4" w:space="0"/>
              <w:right w:val="single" w:color="000000" w:sz="4" w:space="0"/>
            </w:tcBorders>
            <w:vAlign w:val="center"/>
          </w:tcPr>
          <w:p w14:paraId="7CAFA53C">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智能冷库(试剂部分)自动化出入库与盘点：通过重力传感、RFID等技术，系统自动记录试剂的取用和归还，实现“用过必留痕”。库存数量实时更新，以提升管理效率。</w:t>
            </w:r>
          </w:p>
        </w:tc>
      </w:tr>
      <w:tr w14:paraId="58EA3049">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5FEB4D9D">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6.3</w:t>
            </w:r>
          </w:p>
        </w:tc>
        <w:tc>
          <w:tcPr>
            <w:tcW w:w="7479" w:type="dxa"/>
            <w:tcBorders>
              <w:top w:val="single" w:color="000000" w:sz="4" w:space="0"/>
              <w:left w:val="single" w:color="000000" w:sz="4" w:space="0"/>
              <w:bottom w:val="single" w:color="000000" w:sz="4" w:space="0"/>
              <w:right w:val="single" w:color="000000" w:sz="4" w:space="0"/>
            </w:tcBorders>
            <w:vAlign w:val="center"/>
          </w:tcPr>
          <w:p w14:paraId="610D5E5E">
            <w:pPr>
              <w:spacing w:line="360" w:lineRule="auto"/>
              <w:jc w:val="both"/>
              <w:rPr>
                <w:rFonts w:ascii="微软雅黑" w:hAnsi="微软雅黑" w:eastAsia="微软雅黑" w:cs="微软雅黑"/>
                <w:color w:val="auto"/>
                <w:kern w:val="0"/>
                <w:sz w:val="24"/>
              </w:rPr>
            </w:pPr>
            <w:r>
              <w:rPr>
                <w:rFonts w:hint="eastAsia" w:ascii="微软雅黑" w:hAnsi="微软雅黑" w:eastAsia="微软雅黑" w:cs="微软雅黑"/>
                <w:color w:val="auto"/>
                <w:kern w:val="0"/>
                <w:sz w:val="24"/>
              </w:rPr>
              <w:t>智能冷库(样本部分)容量≥40000管，冷藏储存器能够实现样本管的自动化管理，在存储满时或超过设定温度范围时能自动警报提示。</w:t>
            </w:r>
          </w:p>
        </w:tc>
      </w:tr>
      <w:tr w14:paraId="1E0DAF86">
        <w:tblPrEx>
          <w:tblCellMar>
            <w:top w:w="0" w:type="dxa"/>
            <w:left w:w="108" w:type="dxa"/>
            <w:bottom w:w="0" w:type="dxa"/>
            <w:right w:w="108" w:type="dxa"/>
          </w:tblCellMar>
        </w:tblPrEx>
        <w:trPr>
          <w:trHeight w:val="336" w:hRule="atLeast"/>
        </w:trPr>
        <w:tc>
          <w:tcPr>
            <w:tcW w:w="1041" w:type="dxa"/>
            <w:tcBorders>
              <w:top w:val="single" w:color="000000" w:sz="4" w:space="0"/>
              <w:left w:val="single" w:color="000000" w:sz="4" w:space="0"/>
              <w:bottom w:val="single" w:color="000000" w:sz="4" w:space="0"/>
              <w:right w:val="single" w:color="000000" w:sz="4" w:space="0"/>
            </w:tcBorders>
            <w:vAlign w:val="center"/>
          </w:tcPr>
          <w:p w14:paraId="66A3B6C7">
            <w:pPr>
              <w:spacing w:line="360" w:lineRule="auto"/>
              <w:jc w:val="both"/>
              <w:rPr>
                <w:rFonts w:hint="eastAsia" w:ascii="微软雅黑" w:hAnsi="微软雅黑" w:eastAsia="微软雅黑" w:cs="微软雅黑"/>
                <w:color w:val="auto"/>
                <w:kern w:val="0"/>
                <w:sz w:val="24"/>
                <w:lang w:val="en-US" w:eastAsia="zh-CN"/>
              </w:rPr>
            </w:pPr>
            <w:r>
              <w:rPr>
                <w:rFonts w:hint="eastAsia" w:ascii="微软雅黑" w:hAnsi="微软雅黑" w:eastAsia="微软雅黑" w:cs="微软雅黑"/>
                <w:color w:val="auto"/>
                <w:kern w:val="0"/>
                <w:sz w:val="24"/>
                <w:lang w:val="en-US" w:eastAsia="zh-CN"/>
              </w:rPr>
              <w:t>7</w:t>
            </w:r>
          </w:p>
        </w:tc>
        <w:tc>
          <w:tcPr>
            <w:tcW w:w="7479" w:type="dxa"/>
            <w:tcBorders>
              <w:top w:val="single" w:color="000000" w:sz="4" w:space="0"/>
              <w:left w:val="single" w:color="000000" w:sz="4" w:space="0"/>
              <w:bottom w:val="single" w:color="000000" w:sz="4" w:space="0"/>
              <w:right w:val="single" w:color="000000" w:sz="4" w:space="0"/>
            </w:tcBorders>
            <w:vAlign w:val="center"/>
          </w:tcPr>
          <w:p w14:paraId="15B35F97">
            <w:pPr>
              <w:spacing w:line="360" w:lineRule="auto"/>
              <w:jc w:val="both"/>
              <w:rPr>
                <w:rFonts w:hint="eastAsia" w:ascii="微软雅黑" w:hAnsi="微软雅黑" w:eastAsia="微软雅黑" w:cs="微软雅黑"/>
                <w:color w:val="auto"/>
                <w:kern w:val="0"/>
                <w:sz w:val="24"/>
              </w:rPr>
            </w:pPr>
            <w:r>
              <w:rPr>
                <w:rFonts w:hint="eastAsia" w:ascii="微软雅黑" w:hAnsi="微软雅黑" w:eastAsia="微软雅黑" w:cs="微软雅黑"/>
                <w:color w:val="auto"/>
                <w:sz w:val="24"/>
              </w:rPr>
              <w:t>全自动采血机器人：成像方案采用红外 + 超声双模态，首针成功率大≥95%，完整采血时长 ≤110s，全流程自动贴敷止血，数量</w:t>
            </w:r>
            <w:r>
              <w:rPr>
                <w:rFonts w:hint="eastAsia" w:ascii="微软雅黑" w:hAnsi="微软雅黑" w:eastAsia="微软雅黑" w:cs="微软雅黑"/>
                <w:color w:val="auto"/>
                <w:kern w:val="0"/>
                <w:sz w:val="24"/>
              </w:rPr>
              <w:t>按整体智慧化实验室规模、临床需求、智慧化能力的需要配置。</w:t>
            </w:r>
            <w:r>
              <w:rPr>
                <w:rFonts w:hint="eastAsia" w:ascii="微软雅黑" w:hAnsi="微软雅黑" w:eastAsia="微软雅黑" w:cs="微软雅黑"/>
                <w:color w:val="auto"/>
                <w:sz w:val="24"/>
              </w:rPr>
              <w:t>提供机器人采血失败应急人工处理方案。</w:t>
            </w:r>
          </w:p>
        </w:tc>
      </w:tr>
    </w:tbl>
    <w:p w14:paraId="51D824F6">
      <w:pPr>
        <w:pStyle w:val="11"/>
        <w:adjustRightInd w:val="0"/>
        <w:snapToGrid w:val="0"/>
        <w:spacing w:line="360" w:lineRule="auto"/>
        <w:ind w:left="0" w:leftChars="0"/>
        <w:jc w:val="both"/>
        <w:rPr>
          <w:rFonts w:ascii="微软雅黑" w:hAnsi="微软雅黑" w:eastAsia="微软雅黑" w:cs="微软雅黑"/>
          <w:b/>
          <w:bCs/>
          <w:color w:val="auto"/>
          <w:sz w:val="24"/>
          <w:szCs w:val="24"/>
        </w:rPr>
      </w:pPr>
      <w:r>
        <w:rPr>
          <w:rFonts w:hint="eastAsia" w:ascii="微软雅黑" w:hAnsi="微软雅黑" w:eastAsia="微软雅黑" w:cs="微软雅黑"/>
          <w:b/>
          <w:bCs/>
          <w:color w:val="auto"/>
          <w:sz w:val="24"/>
          <w:szCs w:val="24"/>
          <w:lang w:val="en-US" w:eastAsia="zh-CN"/>
        </w:rPr>
        <w:t>三</w:t>
      </w:r>
      <w:r>
        <w:rPr>
          <w:rFonts w:hint="eastAsia" w:ascii="微软雅黑" w:hAnsi="微软雅黑" w:eastAsia="微软雅黑" w:cs="微软雅黑"/>
          <w:b/>
          <w:bCs/>
          <w:color w:val="auto"/>
          <w:sz w:val="24"/>
          <w:szCs w:val="24"/>
        </w:rPr>
        <w:t>、物流配送方案要求：</w:t>
      </w:r>
    </w:p>
    <w:p w14:paraId="6C0EC5F5">
      <w:pPr>
        <w:snapToGrid w:val="0"/>
        <w:spacing w:line="360" w:lineRule="auto"/>
        <w:jc w:val="both"/>
        <w:rPr>
          <w:rFonts w:ascii="微软雅黑" w:hAnsi="微软雅黑" w:eastAsia="微软雅黑" w:cs="微软雅黑"/>
          <w:b/>
          <w:color w:val="auto"/>
          <w:sz w:val="24"/>
        </w:rPr>
      </w:pPr>
      <w:r>
        <w:rPr>
          <w:rFonts w:hint="eastAsia" w:ascii="微软雅黑" w:hAnsi="微软雅黑" w:eastAsia="微软雅黑" w:cs="微软雅黑"/>
          <w:b/>
          <w:color w:val="auto"/>
          <w:sz w:val="24"/>
        </w:rPr>
        <w:t>（一）院内物流方案</w:t>
      </w:r>
    </w:p>
    <w:p w14:paraId="0DCD4AFB">
      <w:pPr>
        <w:pStyle w:val="11"/>
        <w:adjustRightInd w:val="0"/>
        <w:snapToGrid w:val="0"/>
        <w:spacing w:line="360" w:lineRule="auto"/>
        <w:ind w:left="440" w:firstLine="480"/>
        <w:jc w:val="both"/>
        <w:rPr>
          <w:rFonts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提供标本院区内转运方案</w:t>
      </w:r>
      <w:r>
        <w:rPr>
          <w:rFonts w:hint="eastAsia" w:ascii="微软雅黑" w:hAnsi="微软雅黑" w:eastAsia="微软雅黑" w:cs="微软雅黑"/>
          <w:color w:val="auto"/>
          <w:sz w:val="24"/>
          <w:szCs w:val="24"/>
          <w:lang w:eastAsia="zh-CN"/>
        </w:rPr>
        <w:t>（</w:t>
      </w:r>
      <w:r>
        <w:rPr>
          <w:rFonts w:hint="eastAsia" w:ascii="微软雅黑" w:hAnsi="微软雅黑" w:eastAsia="微软雅黑" w:cs="微软雅黑"/>
          <w:color w:val="auto"/>
          <w:sz w:val="24"/>
          <w:szCs w:val="24"/>
          <w:lang w:val="en-US" w:eastAsia="zh-CN"/>
        </w:rPr>
        <w:t>目前</w:t>
      </w:r>
      <w:r>
        <w:rPr>
          <w:rFonts w:hint="eastAsia" w:ascii="微软雅黑" w:hAnsi="微软雅黑" w:eastAsia="微软雅黑" w:cs="微软雅黑"/>
          <w:color w:val="auto"/>
          <w:sz w:val="24"/>
          <w:szCs w:val="24"/>
        </w:rPr>
        <w:t>富阳院区</w:t>
      </w:r>
      <w:r>
        <w:rPr>
          <w:rFonts w:hint="eastAsia" w:ascii="微软雅黑" w:hAnsi="微软雅黑" w:eastAsia="微软雅黑" w:cs="微软雅黑"/>
          <w:color w:val="auto"/>
          <w:sz w:val="24"/>
          <w:szCs w:val="24"/>
          <w:lang w:val="en-US" w:eastAsia="zh-CN"/>
        </w:rPr>
        <w:t>各病区到检验科的</w:t>
      </w:r>
      <w:r>
        <w:rPr>
          <w:rFonts w:hint="eastAsia" w:ascii="微软雅黑" w:hAnsi="微软雅黑" w:eastAsia="微软雅黑" w:cs="微软雅黑"/>
          <w:color w:val="auto"/>
          <w:sz w:val="24"/>
          <w:szCs w:val="24"/>
        </w:rPr>
        <w:t>气动物流基建已建成，供应商负责两套系统无缝对接，承担端口开发、断点改造全部工作</w:t>
      </w:r>
      <w:r>
        <w:rPr>
          <w:rFonts w:hint="eastAsia" w:ascii="微软雅黑" w:hAnsi="微软雅黑" w:eastAsia="微软雅黑" w:cs="微软雅黑"/>
          <w:color w:val="auto"/>
          <w:sz w:val="24"/>
          <w:szCs w:val="24"/>
          <w:lang w:eastAsia="zh-CN"/>
        </w:rPr>
        <w:t>）</w:t>
      </w:r>
      <w:r>
        <w:rPr>
          <w:rFonts w:hint="eastAsia" w:ascii="微软雅黑" w:hAnsi="微软雅黑" w:eastAsia="微软雅黑" w:cs="微软雅黑"/>
          <w:color w:val="auto"/>
          <w:sz w:val="24"/>
          <w:szCs w:val="24"/>
        </w:rPr>
        <w:t>，供应商需提供标本在各院区内部全自动化转运方案，包括并不限于通过转运机器人、物流轨道小车、气动物流等设施设备实现各采血点到实验室、样本库等点到点无人干预全自动化转运。</w:t>
      </w:r>
    </w:p>
    <w:p w14:paraId="17C24625">
      <w:pPr>
        <w:pStyle w:val="11"/>
        <w:adjustRightInd w:val="0"/>
        <w:snapToGrid w:val="0"/>
        <w:spacing w:line="360" w:lineRule="auto"/>
        <w:ind w:left="0" w:leftChars="0" w:firstLine="0" w:firstLineChars="0"/>
        <w:jc w:val="both"/>
        <w:rPr>
          <w:rFonts w:ascii="微软雅黑" w:hAnsi="微软雅黑" w:eastAsia="微软雅黑" w:cs="微软雅黑"/>
          <w:color w:val="auto"/>
          <w:sz w:val="24"/>
          <w:szCs w:val="24"/>
        </w:rPr>
      </w:pPr>
      <w:r>
        <w:rPr>
          <w:rFonts w:hint="eastAsia" w:ascii="微软雅黑" w:hAnsi="微软雅黑" w:eastAsia="微软雅黑" w:cs="微软雅黑"/>
          <w:b/>
          <w:color w:val="auto"/>
          <w:sz w:val="24"/>
        </w:rPr>
        <w:t>（二）</w:t>
      </w:r>
      <w:r>
        <w:rPr>
          <w:rFonts w:hint="eastAsia" w:ascii="微软雅黑" w:hAnsi="微软雅黑" w:eastAsia="微软雅黑" w:cs="微软雅黑"/>
          <w:b/>
          <w:color w:val="auto"/>
          <w:sz w:val="24"/>
          <w:szCs w:val="24"/>
        </w:rPr>
        <w:t>院区间</w:t>
      </w:r>
      <w:r>
        <w:rPr>
          <w:rFonts w:hint="eastAsia" w:ascii="微软雅黑" w:hAnsi="微软雅黑" w:eastAsia="微软雅黑" w:cs="微软雅黑"/>
          <w:b/>
          <w:color w:val="auto"/>
          <w:sz w:val="24"/>
        </w:rPr>
        <w:t>物流方案</w:t>
      </w:r>
    </w:p>
    <w:p w14:paraId="1309AD72">
      <w:pPr>
        <w:pStyle w:val="11"/>
        <w:adjustRightInd w:val="0"/>
        <w:snapToGrid w:val="0"/>
        <w:spacing w:line="360" w:lineRule="auto"/>
        <w:ind w:left="440" w:firstLine="480"/>
        <w:jc w:val="both"/>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提供标本转运物流方案，供应商需提供湖滨院区、钱塘院区、西溪院区等院区分别至富阳院区的标本转运物流服务，湖滨院区、钱塘院区、西溪院区等院区至富阳院区的转运，各院区至富阳院区（例如湖滨院区至富阳院区）转运次数每日均不少于6次。方案需覆盖航空物流、公路运输、运输路线规划、全流程实时动态监控、异常报警机制、全流程记录标准化管理及极端天气专项应急处置等核心模块，物流监控平台全方位保障标本运输全过程安全可追溯、状态可控，严格把控总周转时效（TAT），杜绝运输超时情况发生。</w:t>
      </w:r>
    </w:p>
    <w:p w14:paraId="74329C97">
      <w:pPr>
        <w:spacing w:after="0" w:line="360" w:lineRule="auto"/>
        <w:jc w:val="both"/>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sz w:val="24"/>
          <w:lang w:val="en-US" w:eastAsia="zh-CN"/>
          <w14:ligatures w14:val="none"/>
        </w:rPr>
        <w:t>四</w:t>
      </w:r>
      <w:r>
        <w:rPr>
          <w:rFonts w:hint="eastAsia" w:ascii="微软雅黑" w:hAnsi="微软雅黑" w:eastAsia="微软雅黑" w:cs="微软雅黑"/>
          <w:b/>
          <w:bCs/>
          <w:color w:val="auto"/>
          <w:sz w:val="24"/>
          <w14:ligatures w14:val="none"/>
        </w:rPr>
        <w:t>、</w:t>
      </w:r>
      <w:r>
        <w:rPr>
          <w:rFonts w:hint="eastAsia" w:ascii="微软雅黑" w:hAnsi="微软雅黑" w:eastAsia="微软雅黑" w:cs="微软雅黑"/>
          <w:b/>
          <w:bCs/>
          <w:color w:val="auto"/>
          <w:kern w:val="2"/>
          <w:sz w:val="24"/>
          <w:szCs w:val="24"/>
          <w:lang w:val="en-US" w:eastAsia="zh-CN" w:bidi="ar-SA"/>
        </w:rPr>
        <w:t>智慧实验室总体建设标准</w:t>
      </w:r>
    </w:p>
    <w:p w14:paraId="0D725330">
      <w:pPr>
        <w:spacing w:before="320" w:after="120" w:line="288" w:lineRule="auto"/>
        <w:jc w:val="left"/>
        <w:outlineLvl w:val="1"/>
        <w:rPr>
          <w:rFonts w:hint="eastAsia" w:ascii="微软雅黑" w:hAnsi="微软雅黑" w:eastAsia="微软雅黑" w:cs="微软雅黑"/>
          <w:b/>
          <w:bCs/>
          <w:color w:val="auto"/>
          <w:kern w:val="2"/>
          <w:sz w:val="24"/>
          <w:szCs w:val="24"/>
          <w:lang w:val="en-US" w:eastAsia="zh-CN" w:bidi="ar-SA"/>
        </w:rPr>
      </w:pPr>
      <w:bookmarkStart w:id="0" w:name="heading_1"/>
      <w:r>
        <w:rPr>
          <w:rFonts w:hint="eastAsia" w:ascii="微软雅黑" w:hAnsi="微软雅黑" w:eastAsia="微软雅黑" w:cs="微软雅黑"/>
          <w:b/>
          <w:bCs/>
          <w:color w:val="auto"/>
          <w:kern w:val="2"/>
          <w:sz w:val="24"/>
          <w:szCs w:val="24"/>
          <w:lang w:val="en-US" w:eastAsia="zh-CN" w:bidi="ar-SA"/>
        </w:rPr>
        <w:t>（一）建设目标</w:t>
      </w:r>
      <w:bookmarkEnd w:id="0"/>
    </w:p>
    <w:p w14:paraId="626A51B3">
      <w:pPr>
        <w:spacing w:before="120" w:after="120" w:line="288" w:lineRule="auto"/>
        <w:ind w:left="0"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以“无人化、智能化、高效化、安全化”为核心，构建集自动化检验、智能管控、数据协同、决策支撑于一体的智慧化无人实验室体系，实现检验流程全链路自动化、实验室管理全维度智能化、资源配置全流程优化，提升检验检测效率、数据准确性与管理规范性，为科研创新、质量管控、业务拓展提供坚实支撑，打造可复制、可推广的智慧无人实验室建设范式。</w:t>
      </w:r>
    </w:p>
    <w:p w14:paraId="6724BCE0">
      <w:pPr>
        <w:spacing w:before="320" w:after="120" w:line="288" w:lineRule="auto"/>
        <w:ind w:left="0"/>
        <w:jc w:val="left"/>
        <w:outlineLvl w:val="1"/>
        <w:rPr>
          <w:rFonts w:hint="eastAsia" w:ascii="微软雅黑" w:hAnsi="微软雅黑" w:eastAsia="微软雅黑" w:cs="微软雅黑"/>
          <w:b/>
          <w:bCs/>
          <w:color w:val="auto"/>
          <w:kern w:val="2"/>
          <w:sz w:val="24"/>
          <w:szCs w:val="24"/>
          <w:lang w:val="en-US" w:eastAsia="zh-CN" w:bidi="ar-SA"/>
        </w:rPr>
      </w:pPr>
      <w:bookmarkStart w:id="1" w:name="heading_2"/>
      <w:r>
        <w:rPr>
          <w:rFonts w:hint="eastAsia" w:ascii="微软雅黑" w:hAnsi="微软雅黑" w:eastAsia="微软雅黑" w:cs="微软雅黑"/>
          <w:b/>
          <w:bCs/>
          <w:color w:val="auto"/>
          <w:kern w:val="2"/>
          <w:sz w:val="24"/>
          <w:szCs w:val="24"/>
          <w:lang w:val="en-US" w:eastAsia="zh-CN" w:bidi="ar-SA"/>
        </w:rPr>
        <w:t>（二）建设原则</w:t>
      </w:r>
      <w:bookmarkEnd w:id="1"/>
    </w:p>
    <w:p w14:paraId="6CC2F2ED">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先进性原则</w:t>
      </w:r>
      <w:r>
        <w:rPr>
          <w:rFonts w:hint="eastAsia" w:ascii="微软雅黑" w:hAnsi="微软雅黑" w:eastAsia="微软雅黑" w:cs="微软雅黑"/>
          <w:color w:val="auto"/>
          <w:kern w:val="2"/>
          <w:sz w:val="24"/>
          <w:szCs w:val="24"/>
          <w:lang w:val="en-US" w:eastAsia="zh-CN" w:bidi="ar-SA"/>
        </w:rPr>
        <w:t>：采用成熟稳定的物联网、人工智能、大数据、数字孪生等技术，兼顾技术前瞻性与实用性，避免技术迭代过快导致的资源浪费，确保实验室建设水平符合行业发展趋势。</w:t>
      </w:r>
    </w:p>
    <w:p w14:paraId="780488A1">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安全性原则：</w:t>
      </w:r>
      <w:r>
        <w:rPr>
          <w:rFonts w:hint="eastAsia" w:ascii="微软雅黑" w:hAnsi="微软雅黑" w:eastAsia="微软雅黑" w:cs="微软雅黑"/>
          <w:color w:val="auto"/>
          <w:kern w:val="2"/>
          <w:sz w:val="24"/>
          <w:szCs w:val="24"/>
          <w:lang w:val="en-US" w:eastAsia="zh-CN" w:bidi="ar-SA"/>
        </w:rPr>
        <w:t>构建全流程安全管控体系，涵盖人员安全、设备安全、数据安全、环境安全等多个维度，建立分级预警、应急处置机制，保障实验室运行安全可控。</w:t>
      </w:r>
    </w:p>
    <w:p w14:paraId="2E9526B7">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标准化原则：</w:t>
      </w:r>
      <w:r>
        <w:rPr>
          <w:rFonts w:hint="eastAsia" w:ascii="微软雅黑" w:hAnsi="微软雅黑" w:eastAsia="微软雅黑" w:cs="微软雅黑"/>
          <w:color w:val="auto"/>
          <w:kern w:val="2"/>
          <w:sz w:val="24"/>
          <w:szCs w:val="24"/>
          <w:lang w:val="en-US" w:eastAsia="zh-CN" w:bidi="ar-SA"/>
        </w:rPr>
        <w:t>遵循国家、行业相关标准规范，统一数据接口、设备通信、业务流程等标准，实现各模块、各系统之间的互联互通、协同运作，避免信息孤岛。</w:t>
      </w:r>
    </w:p>
    <w:p w14:paraId="3E2B564D">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可扩展性原则：</w:t>
      </w:r>
      <w:r>
        <w:rPr>
          <w:rFonts w:hint="eastAsia" w:ascii="微软雅黑" w:hAnsi="微软雅黑" w:eastAsia="微软雅黑" w:cs="微软雅黑"/>
          <w:color w:val="auto"/>
          <w:kern w:val="2"/>
          <w:sz w:val="24"/>
          <w:szCs w:val="24"/>
          <w:lang w:val="en-US" w:eastAsia="zh-CN" w:bidi="ar-SA"/>
        </w:rPr>
        <w:t>预留技术升级、功能拓展、业务扩容空间，支持后续根据业务需求新增检验项目、升级智能设备、优化系统功能，适配长期发展需求。</w:t>
      </w:r>
    </w:p>
    <w:p w14:paraId="296A4790">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实用性原则：</w:t>
      </w:r>
      <w:r>
        <w:rPr>
          <w:rFonts w:hint="eastAsia" w:ascii="微软雅黑" w:hAnsi="微软雅黑" w:eastAsia="微软雅黑" w:cs="微软雅黑"/>
          <w:color w:val="auto"/>
          <w:kern w:val="2"/>
          <w:sz w:val="24"/>
          <w:szCs w:val="24"/>
          <w:lang w:val="en-US" w:eastAsia="zh-CN" w:bidi="ar-SA"/>
        </w:rPr>
        <w:t>立足实际业务场景，聚焦检验检测核心需求，避免盲目追求技术堆砌，确保建设内容贴合实际工作流程，切实提升工作效率与管理水平。</w:t>
      </w:r>
    </w:p>
    <w:p w14:paraId="6A467D8D">
      <w:pPr>
        <w:spacing w:before="320" w:after="120" w:line="288" w:lineRule="auto"/>
        <w:ind w:left="0"/>
        <w:jc w:val="left"/>
        <w:outlineLvl w:val="1"/>
        <w:rPr>
          <w:rFonts w:hint="eastAsia" w:ascii="微软雅黑" w:hAnsi="微软雅黑" w:eastAsia="微软雅黑" w:cs="微软雅黑"/>
          <w:b/>
          <w:bCs/>
          <w:color w:val="auto"/>
          <w:kern w:val="2"/>
          <w:sz w:val="24"/>
          <w:szCs w:val="24"/>
          <w:lang w:val="en-US" w:eastAsia="zh-CN" w:bidi="ar-SA"/>
        </w:rPr>
      </w:pPr>
      <w:bookmarkStart w:id="2" w:name="heading_3"/>
      <w:r>
        <w:rPr>
          <w:rFonts w:hint="eastAsia" w:ascii="微软雅黑" w:hAnsi="微软雅黑" w:eastAsia="微软雅黑" w:cs="微软雅黑"/>
          <w:b/>
          <w:bCs/>
          <w:color w:val="auto"/>
          <w:kern w:val="2"/>
          <w:sz w:val="24"/>
          <w:szCs w:val="24"/>
          <w:lang w:val="en-US" w:eastAsia="zh-CN" w:bidi="ar-SA"/>
        </w:rPr>
        <w:t>（三）</w:t>
      </w:r>
      <w:bookmarkEnd w:id="2"/>
      <w:r>
        <w:rPr>
          <w:rFonts w:hint="eastAsia" w:ascii="微软雅黑" w:hAnsi="微软雅黑" w:eastAsia="微软雅黑" w:cs="微软雅黑"/>
          <w:b/>
          <w:bCs/>
          <w:color w:val="auto"/>
          <w:kern w:val="2"/>
          <w:sz w:val="24"/>
          <w:szCs w:val="24"/>
          <w:lang w:val="en-US" w:eastAsia="zh-CN" w:bidi="ar-SA"/>
        </w:rPr>
        <w:t>核心模块建设标准</w:t>
      </w:r>
    </w:p>
    <w:p w14:paraId="114346BC">
      <w:pPr>
        <w:spacing w:before="320" w:after="120" w:line="288" w:lineRule="auto"/>
        <w:ind w:left="0"/>
        <w:jc w:val="left"/>
        <w:outlineLvl w:val="1"/>
        <w:rPr>
          <w:rFonts w:hint="eastAsia" w:ascii="微软雅黑" w:hAnsi="微软雅黑" w:eastAsia="微软雅黑" w:cs="微软雅黑"/>
          <w:b/>
          <w:bCs/>
          <w:color w:val="auto"/>
          <w:kern w:val="2"/>
          <w:sz w:val="24"/>
          <w:szCs w:val="24"/>
          <w:lang w:val="en-US" w:eastAsia="zh-CN" w:bidi="ar-SA"/>
        </w:rPr>
      </w:pPr>
      <w:bookmarkStart w:id="3" w:name="heading_5"/>
      <w:r>
        <w:rPr>
          <w:rFonts w:hint="eastAsia" w:ascii="微软雅黑" w:hAnsi="微软雅黑" w:eastAsia="微软雅黑" w:cs="微软雅黑"/>
          <w:b/>
          <w:bCs/>
          <w:color w:val="auto"/>
          <w:kern w:val="2"/>
          <w:sz w:val="24"/>
          <w:szCs w:val="24"/>
          <w:lang w:val="en-US" w:eastAsia="zh-CN" w:bidi="ar-SA"/>
        </w:rPr>
        <w:t>1 智慧无人检验示范专区</w:t>
      </w:r>
      <w:bookmarkEnd w:id="3"/>
    </w:p>
    <w:p w14:paraId="7CCB1C15">
      <w:pPr>
        <w:spacing w:before="300" w:after="120" w:line="288" w:lineRule="auto"/>
        <w:ind w:left="0"/>
        <w:jc w:val="left"/>
        <w:outlineLvl w:val="2"/>
        <w:rPr>
          <w:rFonts w:hint="eastAsia" w:ascii="微软雅黑" w:hAnsi="微软雅黑" w:eastAsia="微软雅黑" w:cs="微软雅黑"/>
          <w:b/>
          <w:bCs/>
          <w:color w:val="auto"/>
          <w:kern w:val="2"/>
          <w:sz w:val="24"/>
          <w:szCs w:val="24"/>
          <w:lang w:val="en-US" w:eastAsia="zh-CN" w:bidi="ar-SA"/>
        </w:rPr>
      </w:pPr>
      <w:bookmarkStart w:id="4" w:name="heading_6"/>
      <w:r>
        <w:rPr>
          <w:rFonts w:hint="eastAsia" w:ascii="微软雅黑" w:hAnsi="微软雅黑" w:eastAsia="微软雅黑" w:cs="微软雅黑"/>
          <w:b/>
          <w:bCs/>
          <w:color w:val="auto"/>
          <w:kern w:val="2"/>
          <w:sz w:val="24"/>
          <w:szCs w:val="24"/>
          <w:lang w:val="en-US" w:eastAsia="zh-CN" w:bidi="ar-SA"/>
        </w:rPr>
        <w:t>1.1 功能定位</w:t>
      </w:r>
      <w:bookmarkEnd w:id="4"/>
    </w:p>
    <w:p w14:paraId="25041464">
      <w:pPr>
        <w:spacing w:before="120" w:after="120" w:line="288" w:lineRule="auto"/>
        <w:ind w:left="0"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作为智慧化无人实验室的核心业务载体，实现样品接收、前处理、检验检测、结果分析、报告审核、样品留存等全流程无人化操作，通过自动化设备与智能控制系统的协同，替代人工干预，提升检验效率与数据准确性，打造标准化、自动化的检验示范场景。</w:t>
      </w:r>
    </w:p>
    <w:p w14:paraId="39E07F07">
      <w:pPr>
        <w:spacing w:before="300" w:after="120" w:line="288" w:lineRule="auto"/>
        <w:ind w:left="0"/>
        <w:jc w:val="left"/>
        <w:outlineLvl w:val="2"/>
        <w:rPr>
          <w:rFonts w:hint="eastAsia" w:ascii="微软雅黑" w:hAnsi="微软雅黑" w:eastAsia="微软雅黑" w:cs="微软雅黑"/>
          <w:b/>
          <w:bCs/>
          <w:color w:val="auto"/>
          <w:kern w:val="2"/>
          <w:sz w:val="24"/>
          <w:szCs w:val="24"/>
          <w:lang w:val="en-US" w:eastAsia="zh-CN" w:bidi="ar-SA"/>
        </w:rPr>
      </w:pPr>
      <w:bookmarkStart w:id="5" w:name="heading_7"/>
      <w:r>
        <w:rPr>
          <w:rFonts w:hint="eastAsia" w:ascii="微软雅黑" w:hAnsi="微软雅黑" w:eastAsia="微软雅黑" w:cs="微软雅黑"/>
          <w:b/>
          <w:bCs/>
          <w:color w:val="auto"/>
          <w:kern w:val="2"/>
          <w:sz w:val="24"/>
          <w:szCs w:val="24"/>
          <w:lang w:val="en-US" w:eastAsia="zh-CN" w:bidi="ar-SA"/>
        </w:rPr>
        <w:t>1.2 硬件配置标准</w:t>
      </w:r>
      <w:bookmarkEnd w:id="5"/>
    </w:p>
    <w:p w14:paraId="2B9CB00E">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自动化样品处理系统</w:t>
      </w:r>
      <w:r>
        <w:rPr>
          <w:rFonts w:hint="eastAsia" w:ascii="微软雅黑" w:hAnsi="微软雅黑" w:eastAsia="微软雅黑" w:cs="微软雅黑"/>
          <w:color w:val="auto"/>
          <w:kern w:val="2"/>
          <w:sz w:val="24"/>
          <w:szCs w:val="24"/>
          <w:lang w:val="en-US" w:eastAsia="zh-CN" w:bidi="ar-SA"/>
        </w:rPr>
        <w:t>：配备全自动样品接收、分拣、编号、转移设备，支持样品信息自动识别、登记与溯源，实现样品从接收至检验工位的全流程自动化传输。</w:t>
      </w:r>
    </w:p>
    <w:p w14:paraId="590FF88B">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智能检验设备集群：</w:t>
      </w:r>
      <w:r>
        <w:rPr>
          <w:rFonts w:hint="eastAsia" w:ascii="微软雅黑" w:hAnsi="微软雅黑" w:eastAsia="微软雅黑" w:cs="微软雅黑"/>
          <w:color w:val="auto"/>
          <w:kern w:val="2"/>
          <w:sz w:val="24"/>
          <w:szCs w:val="24"/>
          <w:lang w:val="en-US" w:eastAsia="zh-CN" w:bidi="ar-SA"/>
        </w:rPr>
        <w:t>根据检验项目需求，配置自动化检验仪器，设备需具备远程控制、数据自动采集、故障自诊断功能，支持与上层系统无缝对接，检验数据采集准确率≥99.5%。</w:t>
      </w:r>
    </w:p>
    <w:p w14:paraId="77951F4E">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环境智能调控设备</w:t>
      </w:r>
      <w:r>
        <w:rPr>
          <w:rFonts w:hint="eastAsia" w:ascii="微软雅黑" w:hAnsi="微软雅黑" w:eastAsia="微软雅黑" w:cs="微软雅黑"/>
          <w:color w:val="auto"/>
          <w:kern w:val="2"/>
          <w:sz w:val="24"/>
          <w:szCs w:val="24"/>
          <w:lang w:val="en-US" w:eastAsia="zh-CN" w:bidi="ar-SA"/>
        </w:rPr>
        <w:t>：部署温湿度、气压、洁净度、有害气体监测及调控设备，实现实验室环境参数实时监测与自动调节，温湿度控制精度分别为±1℃、±5%RH，洁净度达到 ISO 8级及以上标准，确保检验环境符合相关规范要求。</w:t>
      </w:r>
    </w:p>
    <w:p w14:paraId="6F5E5B45">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样品留存与处置系统：</w:t>
      </w:r>
      <w:r>
        <w:rPr>
          <w:rFonts w:hint="eastAsia" w:ascii="微软雅黑" w:hAnsi="微软雅黑" w:eastAsia="微软雅黑" w:cs="微软雅黑"/>
          <w:color w:val="auto"/>
          <w:kern w:val="2"/>
          <w:sz w:val="24"/>
          <w:szCs w:val="24"/>
          <w:lang w:val="en-US" w:eastAsia="zh-CN" w:bidi="ar-SA"/>
        </w:rPr>
        <w:t>配备全自动样品存储、调取、销毁设备，支持样品分类存储、有效期自动提醒、过期样品自动处置，存储环境可根据样品特性精准调控，确保样品留存期间的稳定性与安全性。</w:t>
      </w:r>
    </w:p>
    <w:p w14:paraId="77C82599">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辅助配套设备：</w:t>
      </w:r>
      <w:r>
        <w:rPr>
          <w:rFonts w:hint="eastAsia" w:ascii="微软雅黑" w:hAnsi="微软雅黑" w:eastAsia="微软雅黑" w:cs="微软雅黑"/>
          <w:color w:val="auto"/>
          <w:kern w:val="2"/>
          <w:sz w:val="24"/>
          <w:szCs w:val="24"/>
          <w:lang w:val="en-US" w:eastAsia="zh-CN" w:bidi="ar-SA"/>
        </w:rPr>
        <w:t>包括自动化试剂加注、废液收集、设备清洗消毒等智能或机器人设备，实现试剂管理、废液处理、设备维护的自动化，减少人工操作环节，降低人为误差与安全风险。</w:t>
      </w:r>
    </w:p>
    <w:p w14:paraId="634E4347">
      <w:pPr>
        <w:spacing w:before="300" w:after="120" w:line="288" w:lineRule="auto"/>
        <w:ind w:left="0"/>
        <w:jc w:val="left"/>
        <w:outlineLvl w:val="2"/>
        <w:rPr>
          <w:rFonts w:hint="eastAsia" w:ascii="微软雅黑" w:hAnsi="微软雅黑" w:eastAsia="微软雅黑" w:cs="微软雅黑"/>
          <w:b/>
          <w:bCs/>
          <w:color w:val="auto"/>
          <w:kern w:val="2"/>
          <w:sz w:val="24"/>
          <w:szCs w:val="24"/>
          <w:lang w:val="en-US" w:eastAsia="zh-CN" w:bidi="ar-SA"/>
        </w:rPr>
      </w:pPr>
      <w:bookmarkStart w:id="6" w:name="heading_8"/>
      <w:r>
        <w:rPr>
          <w:rFonts w:hint="eastAsia" w:ascii="微软雅黑" w:hAnsi="微软雅黑" w:eastAsia="微软雅黑" w:cs="微软雅黑"/>
          <w:b/>
          <w:bCs/>
          <w:color w:val="auto"/>
          <w:kern w:val="2"/>
          <w:sz w:val="24"/>
          <w:szCs w:val="24"/>
          <w:lang w:val="en-US" w:eastAsia="zh-CN" w:bidi="ar-SA"/>
        </w:rPr>
        <w:t>1.3 软件与控制系统标准</w:t>
      </w:r>
      <w:bookmarkEnd w:id="6"/>
    </w:p>
    <w:p w14:paraId="743A5143">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自动化流程控制系统：</w:t>
      </w:r>
      <w:r>
        <w:rPr>
          <w:rFonts w:hint="eastAsia" w:ascii="微软雅黑" w:hAnsi="微软雅黑" w:eastAsia="微软雅黑" w:cs="微软雅黑"/>
          <w:color w:val="auto"/>
          <w:kern w:val="2"/>
          <w:sz w:val="24"/>
          <w:szCs w:val="24"/>
          <w:lang w:val="en-US" w:eastAsia="zh-CN" w:bidi="ar-SA"/>
        </w:rPr>
        <w:t>实现检验全流程的智能调度与管控，支持检验任务自动分配、设备状态实时监控、流程节点自动预警，可根据检验优先级、设备负荷动态调整流程，确保检验流程高效有序推进。</w:t>
      </w:r>
    </w:p>
    <w:p w14:paraId="443DC197">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数据采集与分析系统：</w:t>
      </w:r>
      <w:r>
        <w:rPr>
          <w:rFonts w:hint="eastAsia" w:ascii="微软雅黑" w:hAnsi="微软雅黑" w:eastAsia="微软雅黑" w:cs="微软雅黑"/>
          <w:color w:val="auto"/>
          <w:kern w:val="2"/>
          <w:sz w:val="24"/>
          <w:szCs w:val="24"/>
          <w:lang w:val="en-US" w:eastAsia="zh-CN" w:bidi="ar-SA"/>
        </w:rPr>
        <w:t>自动采集检验设备的原始数据，进行数据清洗、整理、分析，生成标准化检验报告，支持数据溯源、异常数据自动标记与复核，确保检验数据的真实性、准确性与可追溯性。</w:t>
      </w:r>
    </w:p>
    <w:p w14:paraId="0EDB7DEA">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设备运维管理系统：</w:t>
      </w:r>
      <w:r>
        <w:rPr>
          <w:rFonts w:hint="eastAsia" w:ascii="微软雅黑" w:hAnsi="微软雅黑" w:eastAsia="微软雅黑" w:cs="微软雅黑"/>
          <w:color w:val="auto"/>
          <w:kern w:val="2"/>
          <w:sz w:val="24"/>
          <w:szCs w:val="24"/>
          <w:lang w:val="en-US" w:eastAsia="zh-CN" w:bidi="ar-SA"/>
        </w:rPr>
        <w:t>实时监测设备运行状态、故障信息、维护记录，支持设备故障自动报警、维护计划自动生成、备件库存智能管理，延长设备使用寿命，降低设备运维成本。</w:t>
      </w:r>
    </w:p>
    <w:p w14:paraId="3D4FD5DE">
      <w:pPr>
        <w:spacing w:before="300" w:after="120" w:line="288" w:lineRule="auto"/>
        <w:ind w:left="0"/>
        <w:jc w:val="left"/>
        <w:outlineLvl w:val="2"/>
        <w:rPr>
          <w:rFonts w:hint="eastAsia" w:ascii="微软雅黑" w:hAnsi="微软雅黑" w:eastAsia="微软雅黑" w:cs="微软雅黑"/>
          <w:b/>
          <w:bCs/>
          <w:color w:val="auto"/>
          <w:kern w:val="2"/>
          <w:sz w:val="24"/>
          <w:szCs w:val="24"/>
          <w:lang w:val="en-US" w:eastAsia="zh-CN" w:bidi="ar-SA"/>
        </w:rPr>
      </w:pPr>
      <w:bookmarkStart w:id="7" w:name="heading_9"/>
      <w:r>
        <w:rPr>
          <w:rFonts w:hint="eastAsia" w:ascii="微软雅黑" w:hAnsi="微软雅黑" w:eastAsia="微软雅黑" w:cs="微软雅黑"/>
          <w:b/>
          <w:bCs/>
          <w:color w:val="auto"/>
          <w:kern w:val="2"/>
          <w:sz w:val="24"/>
          <w:szCs w:val="24"/>
          <w:lang w:val="en-US" w:eastAsia="zh-CN" w:bidi="ar-SA"/>
        </w:rPr>
        <w:t>1.4 建设要求</w:t>
      </w:r>
      <w:bookmarkEnd w:id="7"/>
    </w:p>
    <w:p w14:paraId="6612311D">
      <w:pPr>
        <w:spacing w:before="120" w:after="120" w:line="288" w:lineRule="auto"/>
        <w:ind w:left="0"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示范专区布局需遵循“流程顺畅、分区合理、安全可控”的原则，划分为样品接收区、前处理区、检验检测区、样品留存区、设备运维区等功能区域，各区域之间通过自动化传输设备实现无缝衔接；所有设备需支持标准化通信协议，确保与智慧检验集中驾驶舱、AI 智能体的互联互通；具备应急处置能力，当出现设备故障、环境异常、数据异常等情况时，可自动启动应急流程，保障人员与设备安全。</w:t>
      </w:r>
    </w:p>
    <w:p w14:paraId="4CE063A8">
      <w:pPr>
        <w:spacing w:before="320" w:after="120" w:line="288" w:lineRule="auto"/>
        <w:ind w:left="0"/>
        <w:jc w:val="left"/>
        <w:outlineLvl w:val="1"/>
        <w:rPr>
          <w:rFonts w:hint="eastAsia" w:ascii="微软雅黑" w:hAnsi="微软雅黑" w:eastAsia="微软雅黑" w:cs="微软雅黑"/>
          <w:b/>
          <w:bCs/>
          <w:color w:val="auto"/>
          <w:kern w:val="2"/>
          <w:sz w:val="24"/>
          <w:szCs w:val="24"/>
          <w:lang w:val="en-US" w:eastAsia="zh-CN" w:bidi="ar-SA"/>
        </w:rPr>
      </w:pPr>
      <w:bookmarkStart w:id="8" w:name="heading_10"/>
      <w:r>
        <w:rPr>
          <w:rFonts w:hint="eastAsia" w:ascii="微软雅黑" w:hAnsi="微软雅黑" w:eastAsia="微软雅黑" w:cs="微软雅黑"/>
          <w:b/>
          <w:bCs/>
          <w:color w:val="auto"/>
          <w:kern w:val="2"/>
          <w:sz w:val="24"/>
          <w:szCs w:val="24"/>
          <w:lang w:val="en-US" w:eastAsia="zh-CN" w:bidi="ar-SA"/>
        </w:rPr>
        <w:t>2 智慧检验集中驾驶舱</w:t>
      </w:r>
      <w:bookmarkEnd w:id="8"/>
    </w:p>
    <w:p w14:paraId="11D33143">
      <w:pPr>
        <w:spacing w:before="300" w:after="120" w:line="288" w:lineRule="auto"/>
        <w:ind w:left="0"/>
        <w:jc w:val="left"/>
        <w:outlineLvl w:val="2"/>
        <w:rPr>
          <w:rFonts w:hint="eastAsia" w:ascii="微软雅黑" w:hAnsi="微软雅黑" w:eastAsia="微软雅黑" w:cs="微软雅黑"/>
          <w:b/>
          <w:bCs/>
          <w:color w:val="auto"/>
          <w:kern w:val="2"/>
          <w:sz w:val="24"/>
          <w:szCs w:val="24"/>
          <w:lang w:val="en-US" w:eastAsia="zh-CN" w:bidi="ar-SA"/>
        </w:rPr>
      </w:pPr>
      <w:bookmarkStart w:id="9" w:name="heading_11"/>
      <w:r>
        <w:rPr>
          <w:rFonts w:hint="eastAsia" w:ascii="微软雅黑" w:hAnsi="微软雅黑" w:eastAsia="微软雅黑" w:cs="微软雅黑"/>
          <w:b/>
          <w:bCs/>
          <w:color w:val="auto"/>
          <w:kern w:val="2"/>
          <w:sz w:val="24"/>
          <w:szCs w:val="24"/>
          <w:lang w:val="en-US" w:eastAsia="zh-CN" w:bidi="ar-SA"/>
        </w:rPr>
        <w:t>2.1 功能定位</w:t>
      </w:r>
      <w:bookmarkEnd w:id="9"/>
    </w:p>
    <w:p w14:paraId="72BA3FEB">
      <w:pPr>
        <w:spacing w:before="120" w:after="120" w:line="288" w:lineRule="auto"/>
        <w:ind w:left="0"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作为智慧化无人实验室的“指挥中枢”，实现对实验室全流程、全要素的集中监控、统一调度、数据分析与决策支撑，整合各类业务数据、设备数据、环境数据、安全数据，通过可视化展示与智能分析，为管理人员提供直观、高效的管理手段，实现实验室管理的数字化、智能化、精细化。</w:t>
      </w:r>
    </w:p>
    <w:p w14:paraId="51A4EF0B">
      <w:pPr>
        <w:spacing w:before="300" w:after="120" w:line="288" w:lineRule="auto"/>
        <w:ind w:left="0"/>
        <w:jc w:val="left"/>
        <w:outlineLvl w:val="2"/>
        <w:rPr>
          <w:rFonts w:hint="eastAsia" w:ascii="微软雅黑" w:hAnsi="微软雅黑" w:eastAsia="微软雅黑" w:cs="微软雅黑"/>
          <w:b/>
          <w:bCs/>
          <w:color w:val="auto"/>
          <w:kern w:val="2"/>
          <w:sz w:val="24"/>
          <w:szCs w:val="24"/>
          <w:lang w:val="en-US" w:eastAsia="zh-CN" w:bidi="ar-SA"/>
        </w:rPr>
      </w:pPr>
      <w:bookmarkStart w:id="10" w:name="heading_12"/>
      <w:r>
        <w:rPr>
          <w:rFonts w:hint="eastAsia" w:ascii="微软雅黑" w:hAnsi="微软雅黑" w:eastAsia="微软雅黑" w:cs="微软雅黑"/>
          <w:b/>
          <w:bCs/>
          <w:color w:val="auto"/>
          <w:kern w:val="2"/>
          <w:sz w:val="24"/>
          <w:szCs w:val="24"/>
          <w:lang w:val="en-US" w:eastAsia="zh-CN" w:bidi="ar-SA"/>
        </w:rPr>
        <w:t>2.2 核心功能模块</w:t>
      </w:r>
      <w:bookmarkEnd w:id="10"/>
    </w:p>
    <w:p w14:paraId="40E2094C">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全域数据可视化模块</w:t>
      </w:r>
      <w:r>
        <w:rPr>
          <w:rFonts w:hint="eastAsia" w:ascii="微软雅黑" w:hAnsi="微软雅黑" w:eastAsia="微软雅黑" w:cs="微软雅黑"/>
          <w:color w:val="auto"/>
          <w:kern w:val="2"/>
          <w:sz w:val="24"/>
          <w:szCs w:val="24"/>
          <w:lang w:val="en-US" w:eastAsia="zh-CN" w:bidi="ar-SA"/>
        </w:rPr>
        <w:t>：整合实验室检验业务、设备运行、环境参数、人员管理、资源消耗等多维度数据，通过大屏可视化、图表化展示，实时呈现实验室整体运行态势，支持数据钻取、筛选、对比分析，让管理人员直观掌握实验室运行情况。</w:t>
      </w:r>
    </w:p>
    <w:p w14:paraId="68CF5F1A">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智能调度与管控模块：</w:t>
      </w:r>
      <w:r>
        <w:rPr>
          <w:rFonts w:hint="eastAsia" w:ascii="微软雅黑" w:hAnsi="微软雅黑" w:eastAsia="微软雅黑" w:cs="微软雅黑"/>
          <w:color w:val="auto"/>
          <w:kern w:val="2"/>
          <w:sz w:val="24"/>
          <w:szCs w:val="24"/>
          <w:lang w:val="en-US" w:eastAsia="zh-CN" w:bidi="ar-SA"/>
        </w:rPr>
        <w:t>实现对检验任务、设备资源、人力资源、物料资源的统一调度与优化配置，支持检验任务优先级调整、设备负荷均衡分配、物料库存智能预警，提升资源利用效率，确保检验任务按时完成。</w:t>
      </w:r>
    </w:p>
    <w:p w14:paraId="6AB89BDA">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安全监控与预警模块</w:t>
      </w:r>
      <w:r>
        <w:rPr>
          <w:rFonts w:hint="eastAsia" w:ascii="微软雅黑" w:hAnsi="微软雅黑" w:eastAsia="微软雅黑" w:cs="微软雅黑"/>
          <w:color w:val="auto"/>
          <w:kern w:val="2"/>
          <w:sz w:val="24"/>
          <w:szCs w:val="24"/>
          <w:lang w:val="en-US" w:eastAsia="zh-CN" w:bidi="ar-SA"/>
        </w:rPr>
        <w:t>：实时监测实验室环境安全、设备安全、人员安全、数据安全等情况，建立分级预警机制（一般预警、中级预警、高级预警），当出现异常情况时，通过声光报警、短信、系统推送等方式及时通知相关人员，同时自动启动应急处置流程。</w:t>
      </w:r>
    </w:p>
    <w:p w14:paraId="0C739457">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数据分析与决策支撑模块：</w:t>
      </w:r>
      <w:r>
        <w:rPr>
          <w:rFonts w:hint="eastAsia" w:ascii="微软雅黑" w:hAnsi="微软雅黑" w:eastAsia="微软雅黑" w:cs="微软雅黑"/>
          <w:color w:val="auto"/>
          <w:kern w:val="2"/>
          <w:sz w:val="24"/>
          <w:szCs w:val="24"/>
          <w:lang w:val="en-US" w:eastAsia="zh-CN" w:bidi="ar-SA"/>
        </w:rPr>
        <w:t>基于大数据分析技术，对实验室历史数据、实时数据进行深度挖掘，分析检验效率、设备利用率、质量管控水平、成本消耗等关键指标，生成分析报告与决策建议，为实验室优化管理、业务拓展提供数据支撑。</w:t>
      </w:r>
    </w:p>
    <w:p w14:paraId="3F7D647F">
      <w:pPr>
        <w:numPr>
          <w:ilvl w:val="0"/>
          <w:numId w:val="0"/>
        </w:numPr>
        <w:spacing w:before="120" w:after="120" w:line="288" w:lineRule="auto"/>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系统管理与权限控制模块：实现用户管理、角色权限分配、系统配置、日志管理等功能，确保系统操作的安全性与规范性；支持数据备份、恢复与加密管理，保障数据安全。</w:t>
      </w:r>
    </w:p>
    <w:p w14:paraId="0A2C968F">
      <w:pPr>
        <w:spacing w:before="300" w:after="120" w:line="288" w:lineRule="auto"/>
        <w:ind w:left="0"/>
        <w:jc w:val="left"/>
        <w:outlineLvl w:val="2"/>
        <w:rPr>
          <w:rFonts w:hint="eastAsia" w:ascii="微软雅黑" w:hAnsi="微软雅黑" w:eastAsia="微软雅黑" w:cs="微软雅黑"/>
          <w:b/>
          <w:bCs/>
          <w:color w:val="auto"/>
          <w:kern w:val="2"/>
          <w:sz w:val="24"/>
          <w:szCs w:val="24"/>
          <w:lang w:val="en-US" w:eastAsia="zh-CN" w:bidi="ar-SA"/>
        </w:rPr>
      </w:pPr>
      <w:bookmarkStart w:id="11" w:name="heading_13"/>
      <w:r>
        <w:rPr>
          <w:rFonts w:hint="eastAsia" w:ascii="微软雅黑" w:hAnsi="微软雅黑" w:eastAsia="微软雅黑" w:cs="微软雅黑"/>
          <w:b/>
          <w:bCs/>
          <w:color w:val="auto"/>
          <w:kern w:val="2"/>
          <w:sz w:val="24"/>
          <w:szCs w:val="24"/>
          <w:lang w:val="en-US" w:eastAsia="zh-CN" w:bidi="ar-SA"/>
        </w:rPr>
        <w:t>2.3 技术标准</w:t>
      </w:r>
      <w:bookmarkEnd w:id="11"/>
    </w:p>
    <w:p w14:paraId="729864DB">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数据整合能力：</w:t>
      </w:r>
      <w:r>
        <w:rPr>
          <w:rFonts w:hint="eastAsia" w:ascii="微软雅黑" w:hAnsi="微软雅黑" w:eastAsia="微软雅黑" w:cs="微软雅黑"/>
          <w:color w:val="auto"/>
          <w:kern w:val="2"/>
          <w:sz w:val="24"/>
          <w:szCs w:val="24"/>
          <w:lang w:val="en-US" w:eastAsia="zh-CN" w:bidi="ar-SA"/>
        </w:rPr>
        <w:t>支持多源数据接入，兼容各类自动化设备、传感器、业务系统的数据接口，数据采集延迟≤1秒，数据整合准确率≥99%，实现数据的统一存储、管理与共享。</w:t>
      </w:r>
    </w:p>
    <w:p w14:paraId="3ACF0A11">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可视化展示效果：</w:t>
      </w:r>
      <w:r>
        <w:rPr>
          <w:rFonts w:hint="eastAsia" w:ascii="微软雅黑" w:hAnsi="微软雅黑" w:eastAsia="微软雅黑" w:cs="微软雅黑"/>
          <w:color w:val="auto"/>
          <w:kern w:val="2"/>
          <w:sz w:val="24"/>
          <w:szCs w:val="24"/>
          <w:lang w:val="en-US" w:eastAsia="zh-CN" w:bidi="ar-SA"/>
        </w:rPr>
        <w:t>采用高清大屏展示，支持多画面切换、分层展示、动态交互，可视化界面需简洁直观、重点突出，可根据管理需求自定义展示内容与布局。</w:t>
      </w:r>
    </w:p>
    <w:p w14:paraId="745022FD">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系统稳定性：</w:t>
      </w:r>
      <w:r>
        <w:rPr>
          <w:rFonts w:hint="eastAsia" w:ascii="微软雅黑" w:hAnsi="微软雅黑" w:eastAsia="微软雅黑" w:cs="微软雅黑"/>
          <w:color w:val="auto"/>
          <w:kern w:val="2"/>
          <w:sz w:val="24"/>
          <w:szCs w:val="24"/>
          <w:lang w:val="en-US" w:eastAsia="zh-CN" w:bidi="ar-SA"/>
        </w:rPr>
        <w:t>系统运行稳定可靠，平均无故障运行时间≥2000小时，支持7×24小时不间断运行，具备容错机制，当部分模块出现故障时，不影响整体系统运行。</w:t>
      </w:r>
    </w:p>
    <w:p w14:paraId="076CDF89">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兼容性与扩展性</w:t>
      </w:r>
      <w:r>
        <w:rPr>
          <w:rFonts w:hint="eastAsia" w:ascii="微软雅黑" w:hAnsi="微软雅黑" w:eastAsia="微软雅黑" w:cs="微软雅黑"/>
          <w:color w:val="auto"/>
          <w:kern w:val="2"/>
          <w:sz w:val="24"/>
          <w:szCs w:val="24"/>
          <w:lang w:val="en-US" w:eastAsia="zh-CN" w:bidi="ar-SA"/>
        </w:rPr>
        <w:t>：支持与智慧无人检验示范专区、AI 智能体及其他相关系统的无缝对接，预留接口支持后续功能拓展与系统升级，适配不同业务场景的需求。</w:t>
      </w:r>
    </w:p>
    <w:p w14:paraId="13E92BB4">
      <w:pPr>
        <w:spacing w:before="320" w:after="120" w:line="288" w:lineRule="auto"/>
        <w:ind w:left="0"/>
        <w:jc w:val="left"/>
        <w:outlineLvl w:val="1"/>
        <w:rPr>
          <w:rFonts w:hint="eastAsia" w:ascii="微软雅黑" w:hAnsi="微软雅黑" w:eastAsia="微软雅黑" w:cs="微软雅黑"/>
          <w:b/>
          <w:bCs/>
          <w:color w:val="auto"/>
          <w:kern w:val="2"/>
          <w:sz w:val="24"/>
          <w:szCs w:val="24"/>
          <w:lang w:val="en-US" w:eastAsia="zh-CN" w:bidi="ar-SA"/>
        </w:rPr>
      </w:pPr>
      <w:bookmarkStart w:id="12" w:name="heading_14"/>
      <w:r>
        <w:rPr>
          <w:rFonts w:hint="eastAsia" w:ascii="微软雅黑" w:hAnsi="微软雅黑" w:eastAsia="微软雅黑" w:cs="微软雅黑"/>
          <w:b/>
          <w:bCs/>
          <w:color w:val="auto"/>
          <w:kern w:val="2"/>
          <w:sz w:val="24"/>
          <w:szCs w:val="24"/>
          <w:lang w:val="en-US" w:eastAsia="zh-CN" w:bidi="ar-SA"/>
        </w:rPr>
        <w:t>2.4 建设要求</w:t>
      </w:r>
      <w:bookmarkEnd w:id="12"/>
    </w:p>
    <w:p w14:paraId="0A2B7DFB">
      <w:pPr>
        <w:spacing w:before="120" w:after="120" w:line="288" w:lineRule="auto"/>
        <w:ind w:left="0"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驾驶舱部署位置需便于管理人员实时监控与操作，配备专业的显示设备、操作终端与通信设备；系统界面需人性化设计，操作简便，易于上手；建立完善的运维管理制度，定期对系统进行维护、升级与优化，确保系统功能正常发挥。</w:t>
      </w:r>
    </w:p>
    <w:p w14:paraId="102F8E46">
      <w:pPr>
        <w:spacing w:before="320" w:after="120" w:line="288" w:lineRule="auto"/>
        <w:ind w:left="0"/>
        <w:jc w:val="left"/>
        <w:outlineLvl w:val="1"/>
        <w:rPr>
          <w:rFonts w:hint="eastAsia" w:ascii="微软雅黑" w:hAnsi="微软雅黑" w:eastAsia="微软雅黑" w:cs="微软雅黑"/>
          <w:b/>
          <w:bCs/>
          <w:color w:val="auto"/>
          <w:kern w:val="2"/>
          <w:sz w:val="24"/>
          <w:szCs w:val="24"/>
          <w:lang w:val="en-US" w:eastAsia="zh-CN" w:bidi="ar-SA"/>
        </w:rPr>
      </w:pPr>
      <w:bookmarkStart w:id="13" w:name="heading_15"/>
      <w:r>
        <w:rPr>
          <w:rFonts w:hint="eastAsia" w:ascii="微软雅黑" w:hAnsi="微软雅黑" w:eastAsia="微软雅黑" w:cs="微软雅黑"/>
          <w:b/>
          <w:bCs/>
          <w:color w:val="auto"/>
          <w:kern w:val="2"/>
          <w:sz w:val="24"/>
          <w:szCs w:val="24"/>
          <w:lang w:val="en-US" w:eastAsia="zh-CN" w:bidi="ar-SA"/>
        </w:rPr>
        <w:t>3 AI 智能体</w:t>
      </w:r>
      <w:bookmarkEnd w:id="13"/>
    </w:p>
    <w:p w14:paraId="40F775EA">
      <w:pPr>
        <w:spacing w:before="300" w:after="120" w:line="288" w:lineRule="auto"/>
        <w:ind w:left="0"/>
        <w:jc w:val="left"/>
        <w:outlineLvl w:val="2"/>
        <w:rPr>
          <w:rFonts w:hint="eastAsia" w:ascii="微软雅黑" w:hAnsi="微软雅黑" w:eastAsia="微软雅黑" w:cs="微软雅黑"/>
          <w:b/>
          <w:bCs/>
          <w:color w:val="auto"/>
          <w:kern w:val="2"/>
          <w:sz w:val="24"/>
          <w:szCs w:val="24"/>
          <w:lang w:val="en-US" w:eastAsia="zh-CN" w:bidi="ar-SA"/>
        </w:rPr>
      </w:pPr>
      <w:bookmarkStart w:id="14" w:name="heading_16"/>
      <w:r>
        <w:rPr>
          <w:rFonts w:hint="eastAsia" w:ascii="微软雅黑" w:hAnsi="微软雅黑" w:eastAsia="微软雅黑" w:cs="微软雅黑"/>
          <w:b/>
          <w:bCs/>
          <w:color w:val="auto"/>
          <w:kern w:val="2"/>
          <w:sz w:val="24"/>
          <w:szCs w:val="24"/>
          <w:lang w:val="en-US" w:eastAsia="zh-CN" w:bidi="ar-SA"/>
        </w:rPr>
        <w:t>3.1 功能定位</w:t>
      </w:r>
      <w:bookmarkEnd w:id="14"/>
    </w:p>
    <w:p w14:paraId="3D87B8AF">
      <w:pPr>
        <w:spacing w:before="120" w:after="120" w:line="288" w:lineRule="auto"/>
        <w:ind w:left="0"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作为智慧化无人实验室的“智能大脑”，依托人工智能、机器学习、知识图谱等技术，实现对实验室业务流程的智能辅助、异常情况的智能识别与处置、数据的智能分析与优化，替代人工完成复杂的决策判断与操作指导，提升实验室运行的智能化水平与自主决策能力。</w:t>
      </w:r>
    </w:p>
    <w:p w14:paraId="2377E406">
      <w:pPr>
        <w:spacing w:before="300" w:after="120" w:line="288" w:lineRule="auto"/>
        <w:ind w:left="0"/>
        <w:jc w:val="left"/>
        <w:outlineLvl w:val="2"/>
        <w:rPr>
          <w:rFonts w:hint="eastAsia" w:ascii="微软雅黑" w:hAnsi="微软雅黑" w:eastAsia="微软雅黑" w:cs="微软雅黑"/>
          <w:b/>
          <w:bCs/>
          <w:color w:val="auto"/>
          <w:kern w:val="2"/>
          <w:sz w:val="24"/>
          <w:szCs w:val="24"/>
          <w:lang w:val="en-US" w:eastAsia="zh-CN" w:bidi="ar-SA"/>
        </w:rPr>
      </w:pPr>
      <w:bookmarkStart w:id="15" w:name="heading_17"/>
      <w:r>
        <w:rPr>
          <w:rFonts w:hint="eastAsia" w:ascii="微软雅黑" w:hAnsi="微软雅黑" w:eastAsia="微软雅黑" w:cs="微软雅黑"/>
          <w:b/>
          <w:bCs/>
          <w:color w:val="auto"/>
          <w:kern w:val="2"/>
          <w:sz w:val="24"/>
          <w:szCs w:val="24"/>
          <w:lang w:val="en-US" w:eastAsia="zh-CN" w:bidi="ar-SA"/>
        </w:rPr>
        <w:t>3.2 核心功能模块</w:t>
      </w:r>
      <w:bookmarkEnd w:id="15"/>
    </w:p>
    <w:p w14:paraId="10B10F98">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智能交互与咨询模块：</w:t>
      </w:r>
      <w:r>
        <w:rPr>
          <w:rFonts w:hint="eastAsia" w:ascii="微软雅黑" w:hAnsi="微软雅黑" w:eastAsia="微软雅黑" w:cs="微软雅黑"/>
          <w:color w:val="auto"/>
          <w:kern w:val="2"/>
          <w:sz w:val="24"/>
          <w:szCs w:val="24"/>
          <w:lang w:val="en-US" w:eastAsia="zh-CN" w:bidi="ar-SA"/>
        </w:rPr>
        <w:t>支持自然语言交互，可为操作人员、管理人员提供检验流程咨询、设备操作指导、标准规范解读、问题解答等服务，响应时间≤2秒，解答准确率≥95%，降低人工咨询成本，提升操作规范性。</w:t>
      </w:r>
    </w:p>
    <w:p w14:paraId="3AE75F76">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异常智能识别与处置模块：</w:t>
      </w:r>
      <w:r>
        <w:rPr>
          <w:rFonts w:hint="eastAsia" w:ascii="微软雅黑" w:hAnsi="微软雅黑" w:eastAsia="微软雅黑" w:cs="微软雅黑"/>
          <w:color w:val="auto"/>
          <w:kern w:val="2"/>
          <w:sz w:val="24"/>
          <w:szCs w:val="24"/>
          <w:lang w:val="en-US" w:eastAsia="zh-CN" w:bidi="ar-SA"/>
        </w:rPr>
        <w:t>通过机器学习算法，实时监测检验数据、设备运行状态、环境参数等信息，智能识别异常情况（如数据异常、设备故障、环境超标等），自动分析异常原因，生成处置方案并推送至相关人员，部分简单异常可实现自主处置，减少人工干预。</w:t>
      </w:r>
    </w:p>
    <w:p w14:paraId="11806A41">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流程智能优化模块：</w:t>
      </w:r>
      <w:r>
        <w:rPr>
          <w:rFonts w:hint="eastAsia" w:ascii="微软雅黑" w:hAnsi="微软雅黑" w:eastAsia="微软雅黑" w:cs="微软雅黑"/>
          <w:color w:val="auto"/>
          <w:kern w:val="2"/>
          <w:sz w:val="24"/>
          <w:szCs w:val="24"/>
          <w:lang w:val="en-US" w:eastAsia="zh-CN" w:bidi="ar-SA"/>
        </w:rPr>
        <w:t>基于历史运行数据与实时业务需求，智能分析检验流程中的瓶颈环节，提出流程优化建议，动态调整检验任务分配、设备调度方案，提升检验效率与资源利用效率。</w:t>
      </w:r>
    </w:p>
    <w:p w14:paraId="7D02DE22">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数据智能分析与预测模块：</w:t>
      </w:r>
      <w:r>
        <w:rPr>
          <w:rFonts w:hint="eastAsia" w:ascii="微软雅黑" w:hAnsi="微软雅黑" w:eastAsia="微软雅黑" w:cs="微软雅黑"/>
          <w:color w:val="auto"/>
          <w:kern w:val="2"/>
          <w:sz w:val="24"/>
          <w:szCs w:val="24"/>
          <w:lang w:val="en-US" w:eastAsia="zh-CN" w:bidi="ar-SA"/>
        </w:rPr>
        <w:t>对检验数据、设备运维数据、资源消耗数据等进行深度分析，预测设备故障发生概率、物料需求趋势、检验业务负荷等，为实验室提前做好运维规划、物料储备、人员调配提供支撑。</w:t>
      </w:r>
    </w:p>
    <w:p w14:paraId="4076744F">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知识图谱管理模块：</w:t>
      </w:r>
      <w:r>
        <w:rPr>
          <w:rFonts w:hint="eastAsia" w:ascii="微软雅黑" w:hAnsi="微软雅黑" w:eastAsia="微软雅黑" w:cs="微软雅黑"/>
          <w:color w:val="auto"/>
          <w:kern w:val="2"/>
          <w:sz w:val="24"/>
          <w:szCs w:val="24"/>
          <w:lang w:val="en-US" w:eastAsia="zh-CN" w:bidi="ar-SA"/>
        </w:rPr>
        <w:t>构建实验室专业知识图谱，整合检验标准、设备操作规范、故障处置方案、业务流程等知识，实现知识的智能检索、更新与应用，为 AI 智能体的决策判断提供知识支撑。</w:t>
      </w:r>
    </w:p>
    <w:p w14:paraId="07E0EE03">
      <w:pPr>
        <w:spacing w:before="300" w:after="120" w:line="288" w:lineRule="auto"/>
        <w:ind w:left="0"/>
        <w:jc w:val="left"/>
        <w:outlineLvl w:val="2"/>
        <w:rPr>
          <w:rFonts w:hint="eastAsia" w:ascii="微软雅黑" w:hAnsi="微软雅黑" w:eastAsia="微软雅黑" w:cs="微软雅黑"/>
          <w:b/>
          <w:bCs/>
          <w:color w:val="auto"/>
          <w:kern w:val="2"/>
          <w:sz w:val="24"/>
          <w:szCs w:val="24"/>
          <w:lang w:val="en-US" w:eastAsia="zh-CN" w:bidi="ar-SA"/>
        </w:rPr>
      </w:pPr>
      <w:bookmarkStart w:id="16" w:name="heading_18"/>
      <w:r>
        <w:rPr>
          <w:rFonts w:hint="eastAsia" w:ascii="微软雅黑" w:hAnsi="微软雅黑" w:eastAsia="微软雅黑" w:cs="微软雅黑"/>
          <w:b/>
          <w:bCs/>
          <w:color w:val="auto"/>
          <w:kern w:val="2"/>
          <w:sz w:val="24"/>
          <w:szCs w:val="24"/>
          <w:lang w:val="en-US" w:eastAsia="zh-CN" w:bidi="ar-SA"/>
        </w:rPr>
        <w:t>3.3 技术标准</w:t>
      </w:r>
      <w:bookmarkEnd w:id="16"/>
    </w:p>
    <w:p w14:paraId="32A24546">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算法性能：</w:t>
      </w:r>
      <w:r>
        <w:rPr>
          <w:rFonts w:hint="eastAsia" w:ascii="微软雅黑" w:hAnsi="微软雅黑" w:eastAsia="微软雅黑" w:cs="微软雅黑"/>
          <w:color w:val="auto"/>
          <w:kern w:val="2"/>
          <w:sz w:val="24"/>
          <w:szCs w:val="24"/>
          <w:lang w:val="en-US" w:eastAsia="zh-CN" w:bidi="ar-SA"/>
        </w:rPr>
        <w:t>采用先进的机器学习、深度学习算法，模型准确率≥90%，异常识别漏检率≤5%，支持模型持续优化与迭代，适应业务场景的变化。</w:t>
      </w:r>
    </w:p>
    <w:p w14:paraId="5DBC08AF">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交互能力：</w:t>
      </w:r>
      <w:r>
        <w:rPr>
          <w:rFonts w:hint="eastAsia" w:ascii="微软雅黑" w:hAnsi="微软雅黑" w:eastAsia="微软雅黑" w:cs="微软雅黑"/>
          <w:color w:val="auto"/>
          <w:kern w:val="2"/>
          <w:sz w:val="24"/>
          <w:szCs w:val="24"/>
          <w:lang w:val="en-US" w:eastAsia="zh-CN" w:bidi="ar-SA"/>
        </w:rPr>
        <w:t>支持语音、文字等多种交互方式，交互过程流畅自然，可理解复杂的业务需求与问题，具备上下文记忆能力，提升交互体验。</w:t>
      </w:r>
    </w:p>
    <w:p w14:paraId="6FD244A2">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知识更新能力：</w:t>
      </w:r>
      <w:r>
        <w:rPr>
          <w:rFonts w:hint="eastAsia" w:ascii="微软雅黑" w:hAnsi="微软雅黑" w:eastAsia="微软雅黑" w:cs="微软雅黑"/>
          <w:color w:val="auto"/>
          <w:kern w:val="2"/>
          <w:sz w:val="24"/>
          <w:szCs w:val="24"/>
          <w:lang w:val="en-US" w:eastAsia="zh-CN" w:bidi="ar-SA"/>
        </w:rPr>
        <w:t>支持知识图谱的动态更新与完善，可自动接入新的检验标准、设备参数、故障案例等知识，确保知识的时效性与准确性。</w:t>
      </w:r>
    </w:p>
    <w:p w14:paraId="64BD8CB4">
      <w:pPr>
        <w:numPr>
          <w:ilvl w:val="0"/>
          <w:numId w:val="0"/>
        </w:numPr>
        <w:spacing w:before="120" w:after="120" w:line="288" w:lineRule="auto"/>
        <w:ind w:firstLine="480" w:firstLineChars="200"/>
        <w:jc w:val="lef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bCs/>
          <w:color w:val="auto"/>
          <w:kern w:val="2"/>
          <w:sz w:val="24"/>
          <w:szCs w:val="24"/>
          <w:lang w:val="en-US" w:eastAsia="zh-CN" w:bidi="ar-SA"/>
        </w:rPr>
        <w:t>安全性与可靠性：</w:t>
      </w:r>
      <w:r>
        <w:rPr>
          <w:rFonts w:hint="eastAsia" w:ascii="微软雅黑" w:hAnsi="微软雅黑" w:eastAsia="微软雅黑" w:cs="微软雅黑"/>
          <w:color w:val="auto"/>
          <w:kern w:val="2"/>
          <w:sz w:val="24"/>
          <w:szCs w:val="24"/>
          <w:lang w:val="en-US" w:eastAsia="zh-CN" w:bidi="ar-SA"/>
        </w:rPr>
        <w:t>AI 智能体的决策过程可追溯，确保决策的合理性与规范性；具备数据安全防护能力，防止数据泄露、篡改，保障系统运行安全。</w:t>
      </w:r>
    </w:p>
    <w:p w14:paraId="3BA7EE68">
      <w:pPr>
        <w:spacing w:before="300" w:after="120" w:line="288" w:lineRule="auto"/>
        <w:ind w:left="0"/>
        <w:jc w:val="left"/>
        <w:outlineLvl w:val="2"/>
        <w:rPr>
          <w:rFonts w:hint="eastAsia" w:ascii="微软雅黑" w:hAnsi="微软雅黑" w:eastAsia="微软雅黑" w:cs="微软雅黑"/>
          <w:b/>
          <w:bCs/>
          <w:color w:val="auto"/>
          <w:kern w:val="2"/>
          <w:sz w:val="24"/>
          <w:szCs w:val="24"/>
          <w:lang w:val="en-US" w:eastAsia="zh-CN" w:bidi="ar-SA"/>
        </w:rPr>
      </w:pPr>
      <w:bookmarkStart w:id="17" w:name="heading_19"/>
      <w:r>
        <w:rPr>
          <w:rFonts w:hint="eastAsia" w:ascii="微软雅黑" w:hAnsi="微软雅黑" w:eastAsia="微软雅黑" w:cs="微软雅黑"/>
          <w:b/>
          <w:bCs/>
          <w:color w:val="auto"/>
          <w:kern w:val="2"/>
          <w:sz w:val="24"/>
          <w:szCs w:val="24"/>
          <w:lang w:val="en-US" w:eastAsia="zh-CN" w:bidi="ar-SA"/>
        </w:rPr>
        <w:t>3.4 建设要求</w:t>
      </w:r>
      <w:bookmarkEnd w:id="17"/>
    </w:p>
    <w:p w14:paraId="637E9F96">
      <w:pPr>
        <w:keepNext w:val="0"/>
        <w:keepLines w:val="0"/>
        <w:pageBreakBefore w:val="0"/>
        <w:widowControl w:val="0"/>
        <w:kinsoku/>
        <w:wordWrap/>
        <w:overflowPunct/>
        <w:topLinePunct w:val="0"/>
        <w:autoSpaceDE/>
        <w:autoSpaceDN/>
        <w:bidi w:val="0"/>
        <w:adjustRightInd/>
        <w:snapToGrid/>
        <w:spacing w:before="120" w:after="120" w:line="288" w:lineRule="auto"/>
        <w:ind w:left="0" w:firstLine="480" w:firstLineChars="200"/>
        <w:jc w:val="both"/>
        <w:textAlignment w:val="auto"/>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AI 智能体需与智慧无人检验示范专区、智慧检验集中驾驶舱深度融合，实现数据共享与协同运作；建立完善的模型训练与优化机制，定期对算法模型进行评估与升级，提升智能体的性能；配备专业的技术团队，负责 AI 智能体的运维、优化与升级，确保其功能持续适配实验室业务需求。</w:t>
      </w:r>
    </w:p>
    <w:p w14:paraId="5F784B87">
      <w:pPr>
        <w:numPr>
          <w:ilvl w:val="0"/>
          <w:numId w:val="0"/>
        </w:numPr>
        <w:spacing w:before="120" w:after="120" w:line="288" w:lineRule="auto"/>
        <w:jc w:val="left"/>
        <w:rPr>
          <w:rFonts w:hint="default" w:ascii="微软雅黑" w:hAnsi="微软雅黑" w:eastAsia="微软雅黑" w:cs="微软雅黑"/>
          <w:b/>
          <w:bCs/>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 xml:space="preserve">4 </w:t>
      </w:r>
      <w:r>
        <w:rPr>
          <w:rFonts w:hint="eastAsia" w:ascii="微软雅黑" w:hAnsi="微软雅黑" w:eastAsia="微软雅黑" w:cs="微软雅黑"/>
          <w:b/>
          <w:bCs/>
          <w:color w:val="auto"/>
          <w:kern w:val="2"/>
          <w:sz w:val="24"/>
          <w:szCs w:val="24"/>
          <w:lang w:val="en-US" w:eastAsia="zh-CN" w:bidi="ar-SA"/>
        </w:rPr>
        <w:t>质量管理</w:t>
      </w:r>
      <w:r>
        <w:rPr>
          <w:rFonts w:hint="default" w:ascii="微软雅黑" w:hAnsi="微软雅黑" w:eastAsia="微软雅黑" w:cs="微软雅黑"/>
          <w:b/>
          <w:bCs/>
          <w:color w:val="auto"/>
          <w:kern w:val="2"/>
          <w:sz w:val="24"/>
          <w:szCs w:val="24"/>
          <w:lang w:val="en-US" w:eastAsia="zh-CN" w:bidi="ar-SA"/>
        </w:rPr>
        <w:t>系统</w:t>
      </w:r>
    </w:p>
    <w:p w14:paraId="1891AD4B">
      <w:pPr>
        <w:numPr>
          <w:ilvl w:val="0"/>
          <w:numId w:val="0"/>
        </w:numPr>
        <w:spacing w:before="120" w:after="120" w:line="288" w:lineRule="auto"/>
        <w:jc w:val="left"/>
        <w:rPr>
          <w:rFonts w:hint="default" w:ascii="微软雅黑" w:hAnsi="微软雅黑" w:eastAsia="微软雅黑" w:cs="微软雅黑"/>
          <w:b/>
          <w:bCs/>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4.1 功能定位</w:t>
      </w:r>
    </w:p>
    <w:p w14:paraId="5ECC4CD4">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color w:val="auto"/>
          <w:kern w:val="2"/>
          <w:sz w:val="24"/>
          <w:szCs w:val="24"/>
          <w:lang w:val="en-US" w:eastAsia="zh-CN" w:bidi="ar-SA"/>
        </w:rPr>
        <w:t>作为检验科落实医学实验室质量和能力认可准则及各类评审、审核工作的核心支撑系统，聚焦</w:t>
      </w:r>
      <w:r>
        <w:rPr>
          <w:rFonts w:hint="eastAsia" w:ascii="微软雅黑" w:hAnsi="微软雅黑" w:eastAsia="微软雅黑" w:cs="微软雅黑"/>
          <w:color w:val="auto"/>
          <w:kern w:val="2"/>
          <w:sz w:val="24"/>
          <w:szCs w:val="24"/>
          <w:lang w:val="en-US" w:eastAsia="zh-CN" w:bidi="ar-SA"/>
        </w:rPr>
        <w:t>检验科</w:t>
      </w:r>
      <w:r>
        <w:rPr>
          <w:rFonts w:hint="default" w:ascii="微软雅黑" w:hAnsi="微软雅黑" w:eastAsia="微软雅黑" w:cs="微软雅黑"/>
          <w:color w:val="auto"/>
          <w:kern w:val="2"/>
          <w:sz w:val="24"/>
          <w:szCs w:val="24"/>
          <w:lang w:val="en-US" w:eastAsia="zh-CN" w:bidi="ar-SA"/>
        </w:rPr>
        <w:t>全流程管控，覆盖15189体系认证、内部审核、外部评审、质量督查等各类场景，实现体系文件管控、质量指标监测、不符合项整改、迎评资料归集、审核流程追溯、合规性自查等全环节数字化、智能化管理，助力检验科满足各类评审标准要求，提升质量管理规范化水平，保障各类评审工作顺利推进并实现持续合规改进。</w:t>
      </w:r>
    </w:p>
    <w:p w14:paraId="7C3E4B05">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jc w:val="both"/>
        <w:textAlignment w:val="auto"/>
        <w:rPr>
          <w:rFonts w:hint="default" w:ascii="微软雅黑" w:hAnsi="微软雅黑" w:eastAsia="微软雅黑" w:cs="微软雅黑"/>
          <w:b/>
          <w:bCs/>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4.2 核心功能模块</w:t>
      </w:r>
    </w:p>
    <w:p w14:paraId="04E37A35">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体系文件管理模块：</w:t>
      </w:r>
      <w:r>
        <w:rPr>
          <w:rFonts w:hint="default" w:ascii="微软雅黑" w:hAnsi="微软雅黑" w:eastAsia="微软雅黑" w:cs="微软雅黑"/>
          <w:color w:val="auto"/>
          <w:kern w:val="2"/>
          <w:sz w:val="24"/>
          <w:szCs w:val="24"/>
          <w:lang w:val="en-US" w:eastAsia="zh-CN" w:bidi="ar-SA"/>
        </w:rPr>
        <w:t>严格遵循15189体系及</w:t>
      </w:r>
      <w:r>
        <w:rPr>
          <w:rFonts w:hint="eastAsia" w:ascii="微软雅黑" w:hAnsi="微软雅黑" w:eastAsia="微软雅黑" w:cs="微软雅黑"/>
          <w:color w:val="auto"/>
          <w:kern w:val="2"/>
          <w:sz w:val="24"/>
          <w:szCs w:val="24"/>
          <w:lang w:val="en-US" w:eastAsia="zh-CN" w:bidi="ar-SA"/>
        </w:rPr>
        <w:t>其他</w:t>
      </w:r>
      <w:r>
        <w:rPr>
          <w:rFonts w:hint="default" w:ascii="微软雅黑" w:hAnsi="微软雅黑" w:eastAsia="微软雅黑" w:cs="微软雅黑"/>
          <w:color w:val="auto"/>
          <w:kern w:val="2"/>
          <w:sz w:val="24"/>
          <w:szCs w:val="24"/>
          <w:lang w:val="en-US" w:eastAsia="zh-CN" w:bidi="ar-SA"/>
        </w:rPr>
        <w:t>相关评审标准要求，实现质量手册、程序文件、作业指导书、记录表单等体系文件的全生命周期管理，支持文件分级审批、版本控制、在线修订、权限管控与合规性校验，确保文件内容符合15189准则条款及各类评审规范，且现场使用的文件均为有效版本，杜绝无效文件流转与使用。</w:t>
      </w:r>
    </w:p>
    <w:p w14:paraId="31844A7D">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质量指标监测模块：</w:t>
      </w:r>
      <w:r>
        <w:rPr>
          <w:rFonts w:hint="default" w:ascii="微软雅黑" w:hAnsi="微软雅黑" w:eastAsia="微软雅黑" w:cs="微软雅黑"/>
          <w:color w:val="auto"/>
          <w:kern w:val="2"/>
          <w:sz w:val="24"/>
          <w:szCs w:val="24"/>
          <w:lang w:val="en-US" w:eastAsia="zh-CN" w:bidi="ar-SA"/>
        </w:rPr>
        <w:t>围绕15189体系核心质量指标（如检验结果准确率、报告周转时间、设备故障率、室内质控合格率、室间质评通过率等）及各类评审要求的关键指标，实现指标自动采集、实时监测、趋势分析与异常预警，支持指标数据溯源与关联分析，直观呈现质量管理成效，及时发现质量管控薄弱环节，为质量改进提供数据支撑。</w:t>
      </w:r>
    </w:p>
    <w:p w14:paraId="2A8C554B">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不符合项管理模块：</w:t>
      </w:r>
      <w:r>
        <w:rPr>
          <w:rFonts w:hint="default" w:ascii="微软雅黑" w:hAnsi="微软雅黑" w:eastAsia="微软雅黑" w:cs="微软雅黑"/>
          <w:color w:val="auto"/>
          <w:kern w:val="2"/>
          <w:sz w:val="24"/>
          <w:szCs w:val="24"/>
          <w:lang w:val="en-US" w:eastAsia="zh-CN" w:bidi="ar-SA"/>
        </w:rPr>
        <w:t>针对内部审核、外部评审、日常质控、合规性自查中发现的不符合项，实现登记、分类、原因分析、整改方案制定、整改实施、效果验证、闭环管理全流程数字化管控，支持不符合项整改进度跟踪、责任落实、时限提醒，确保所有不符合项均按15189体系及评审要求完成整改并留存完整记录，形成管理闭环。</w:t>
      </w:r>
    </w:p>
    <w:p w14:paraId="031D4671">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迎评资料归集模块：</w:t>
      </w:r>
      <w:r>
        <w:rPr>
          <w:rFonts w:hint="default" w:ascii="微软雅黑" w:hAnsi="微软雅黑" w:eastAsia="微软雅黑" w:cs="微软雅黑"/>
          <w:color w:val="auto"/>
          <w:kern w:val="2"/>
          <w:sz w:val="24"/>
          <w:szCs w:val="24"/>
          <w:lang w:val="en-US" w:eastAsia="zh-CN" w:bidi="ar-SA"/>
        </w:rPr>
        <w:t>按照15189认证评审及各类审核标准，自动归集整理各类迎评资料，包括体系文件、质量记录、质控数据、设备校准证书、人员资质证明、培训记录、应急演练报告、审核报告等，支持资料分类检索、一键导出、合规性自查，减少人工整理工作量，确保迎评资料完整、规范、可追溯，满足各类评审的资料核查要求。</w:t>
      </w:r>
    </w:p>
    <w:p w14:paraId="6A584428">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审核流程管理模块：</w:t>
      </w:r>
      <w:r>
        <w:rPr>
          <w:rFonts w:hint="default" w:ascii="微软雅黑" w:hAnsi="微软雅黑" w:eastAsia="微软雅黑" w:cs="微软雅黑"/>
          <w:color w:val="auto"/>
          <w:kern w:val="2"/>
          <w:sz w:val="24"/>
          <w:szCs w:val="24"/>
          <w:lang w:val="en-US" w:eastAsia="zh-CN" w:bidi="ar-SA"/>
        </w:rPr>
        <w:t>实现内部审核、管理评审、外部评审、专项督查等各类审核工作的全流程线上管控，支持审核计划制定、审核任务分配、审核记录填写、审核报告生成、整改跟踪等功能，留存完整的审核过程痕迹，确保审核工作符合15189体系及相关评审规范，形成“计划-实施-检查-改进”的闭环管理。</w:t>
      </w:r>
    </w:p>
    <w:p w14:paraId="48C24D75">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人员与资质管理模块：</w:t>
      </w:r>
      <w:r>
        <w:rPr>
          <w:rFonts w:hint="default" w:ascii="微软雅黑" w:hAnsi="微软雅黑" w:eastAsia="微软雅黑" w:cs="微软雅黑"/>
          <w:color w:val="auto"/>
          <w:kern w:val="2"/>
          <w:sz w:val="24"/>
          <w:szCs w:val="24"/>
          <w:lang w:val="en-US" w:eastAsia="zh-CN" w:bidi="ar-SA"/>
        </w:rPr>
        <w:t>对接15189体系及各类评审对人员能力的要求，实现人员资质、培训记录、考核结果、授权范围等信息的集中管理，支持资质到期提醒、培训需求分析、培训效果评估，确保所有检验人员具备相应的专业能力与资质。</w:t>
      </w:r>
    </w:p>
    <w:p w14:paraId="77E3CF6B">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合规性自查模块：</w:t>
      </w:r>
      <w:r>
        <w:rPr>
          <w:rFonts w:hint="eastAsia" w:ascii="微软雅黑" w:hAnsi="微软雅黑" w:eastAsia="微软雅黑" w:cs="微软雅黑"/>
          <w:b w:val="0"/>
          <w:bCs w:val="0"/>
          <w:color w:val="auto"/>
          <w:kern w:val="2"/>
          <w:sz w:val="24"/>
          <w:szCs w:val="24"/>
          <w:lang w:val="en-US" w:eastAsia="zh-CN" w:bidi="ar-SA"/>
        </w:rPr>
        <w:t>支持</w:t>
      </w:r>
      <w:r>
        <w:rPr>
          <w:rFonts w:hint="default" w:ascii="微软雅黑" w:hAnsi="微软雅黑" w:eastAsia="微软雅黑" w:cs="微软雅黑"/>
          <w:color w:val="auto"/>
          <w:kern w:val="2"/>
          <w:sz w:val="24"/>
          <w:szCs w:val="24"/>
          <w:lang w:val="en-US" w:eastAsia="zh-CN" w:bidi="ar-SA"/>
        </w:rPr>
        <w:t>内置15189体系及各类评审标准条款库，支持定期或专项合规性自查，自动比对实验室管理流程、数据记录、文件管控等与标准条款的符合性，生成自查报告与整改建议，提前排查合规风险。</w:t>
      </w:r>
    </w:p>
    <w:p w14:paraId="51D11A44">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jc w:val="both"/>
        <w:textAlignment w:val="auto"/>
        <w:rPr>
          <w:rFonts w:hint="default" w:ascii="微软雅黑" w:hAnsi="微软雅黑" w:eastAsia="微软雅黑" w:cs="微软雅黑"/>
          <w:b/>
          <w:bCs/>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4.3 技术标准</w:t>
      </w:r>
    </w:p>
    <w:p w14:paraId="24122384">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体系合规性：</w:t>
      </w:r>
      <w:r>
        <w:rPr>
          <w:rFonts w:hint="default" w:ascii="微软雅黑" w:hAnsi="微软雅黑" w:eastAsia="微软雅黑" w:cs="微软雅黑"/>
          <w:color w:val="auto"/>
          <w:kern w:val="2"/>
          <w:sz w:val="24"/>
          <w:szCs w:val="24"/>
          <w:lang w:val="en-US" w:eastAsia="zh-CN" w:bidi="ar-SA"/>
        </w:rPr>
        <w:t>严格贴合医学实验室质量和能力认可准则及相关评审规范各项条款要求，系统功能覆盖迎评迎审全流程管控要点，确保管理流程、数据记录、文件管控均符合认证及评审要求，合规性校验准确率≥98%。</w:t>
      </w:r>
    </w:p>
    <w:p w14:paraId="1E476C4C">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数据协同能力：</w:t>
      </w:r>
      <w:r>
        <w:rPr>
          <w:rFonts w:hint="default" w:ascii="微软雅黑" w:hAnsi="微软雅黑" w:eastAsia="微软雅黑" w:cs="微软雅黑"/>
          <w:color w:val="auto"/>
          <w:kern w:val="2"/>
          <w:sz w:val="24"/>
          <w:szCs w:val="24"/>
          <w:lang w:val="en-US" w:eastAsia="zh-CN" w:bidi="ar-SA"/>
        </w:rPr>
        <w:t>支持与智慧无人检验示范专区、智慧检验集中驾驶舱、AI 智能体及检验科现有业务系统（LIS、HIS 等）无缝对接，实现检验数据、质控数据、设备数据、人员数据、质量记录等多源数据共享，避免数据孤岛，保障数据一致性。</w:t>
      </w:r>
    </w:p>
    <w:p w14:paraId="33719C49">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资料追溯性：</w:t>
      </w:r>
      <w:r>
        <w:rPr>
          <w:rFonts w:hint="default" w:ascii="微软雅黑" w:hAnsi="微软雅黑" w:eastAsia="微软雅黑" w:cs="微软雅黑"/>
          <w:color w:val="auto"/>
          <w:kern w:val="2"/>
          <w:sz w:val="24"/>
          <w:szCs w:val="24"/>
          <w:lang w:val="en-US" w:eastAsia="zh-CN" w:bidi="ar-SA"/>
        </w:rPr>
        <w:t>所有体系文件、质量记录、审核记录、整改记录、自查记录等均实现全流程可追溯，支持按时间、人员、模块、不符合项类型、评审类型等多维度检索，确保评审过程中可快速调取相关资料，满足各类评审的追溯核查要求。</w:t>
      </w:r>
    </w:p>
    <w:p w14:paraId="538D7945">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系统稳定性与安全性：</w:t>
      </w:r>
      <w:r>
        <w:rPr>
          <w:rFonts w:hint="default" w:ascii="微软雅黑" w:hAnsi="微软雅黑" w:eastAsia="微软雅黑" w:cs="微软雅黑"/>
          <w:color w:val="auto"/>
          <w:kern w:val="2"/>
          <w:sz w:val="24"/>
          <w:szCs w:val="24"/>
          <w:lang w:val="en-US" w:eastAsia="zh-CN" w:bidi="ar-SA"/>
        </w:rPr>
        <w:t>系统运行稳定可靠，平均无故障运行时间≥2000小时，支持7×24小时不间断运行；具备完善的数据加密、权限管控、备份恢复机制，确保体系文件、质量数据、审核记录等敏感信息安全，防止数据泄露、篡改，符合15189体系及相关评审对数据安全的要求。</w:t>
      </w:r>
    </w:p>
    <w:p w14:paraId="69447296">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可扩展性：</w:t>
      </w:r>
      <w:r>
        <w:rPr>
          <w:rFonts w:hint="default" w:ascii="微软雅黑" w:hAnsi="微软雅黑" w:eastAsia="微软雅黑" w:cs="微软雅黑"/>
          <w:color w:val="auto"/>
          <w:kern w:val="2"/>
          <w:sz w:val="24"/>
          <w:szCs w:val="24"/>
          <w:lang w:val="en-US" w:eastAsia="zh-CN" w:bidi="ar-SA"/>
        </w:rPr>
        <w:t>支持根据15189体系准则更新、各类评审标准调整、检验科业务拓展需求，灵活调整功能模块、新增管控要点、优化流程配置，预留接口支持后续与认证评审机构系统、上级监管部门系统对接，适配长期合规管理。</w:t>
      </w:r>
    </w:p>
    <w:p w14:paraId="20187930">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jc w:val="both"/>
        <w:textAlignment w:val="auto"/>
        <w:rPr>
          <w:rFonts w:hint="default" w:ascii="微软雅黑" w:hAnsi="微软雅黑" w:eastAsia="微软雅黑" w:cs="微软雅黑"/>
          <w:b/>
          <w:bCs/>
          <w:color w:val="auto"/>
          <w:kern w:val="2"/>
          <w:sz w:val="24"/>
          <w:szCs w:val="24"/>
          <w:lang w:val="en-US" w:eastAsia="zh-CN" w:bidi="ar-SA"/>
        </w:rPr>
      </w:pPr>
      <w:r>
        <w:rPr>
          <w:rFonts w:hint="default" w:ascii="微软雅黑" w:hAnsi="微软雅黑" w:eastAsia="微软雅黑" w:cs="微软雅黑"/>
          <w:b/>
          <w:bCs/>
          <w:color w:val="auto"/>
          <w:kern w:val="2"/>
          <w:sz w:val="24"/>
          <w:szCs w:val="24"/>
          <w:lang w:val="en-US" w:eastAsia="zh-CN" w:bidi="ar-SA"/>
        </w:rPr>
        <w:t>4.4 建设要求</w:t>
      </w:r>
    </w:p>
    <w:p w14:paraId="1ECC15F2">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80" w:firstLineChars="200"/>
        <w:jc w:val="both"/>
        <w:textAlignment w:val="auto"/>
        <w:rPr>
          <w:rFonts w:hint="default" w:ascii="微软雅黑" w:hAnsi="微软雅黑" w:eastAsia="微软雅黑" w:cs="微软雅黑"/>
          <w:color w:val="auto"/>
          <w:kern w:val="2"/>
          <w:sz w:val="24"/>
          <w:szCs w:val="24"/>
          <w:lang w:val="en-US" w:eastAsia="zh-CN" w:bidi="ar-SA"/>
        </w:rPr>
      </w:pPr>
      <w:r>
        <w:rPr>
          <w:rFonts w:hint="default" w:ascii="微软雅黑" w:hAnsi="微软雅黑" w:eastAsia="微软雅黑" w:cs="微软雅黑"/>
          <w:color w:val="auto"/>
          <w:kern w:val="2"/>
          <w:sz w:val="24"/>
          <w:szCs w:val="24"/>
          <w:lang w:val="en-US" w:eastAsia="zh-CN" w:bidi="ar-SA"/>
        </w:rPr>
        <w:t>系统部署需贴合检验科实际业务流程，与现有智慧实验室系统深度融合，实现迎评迎审管理流程与检验业务的协同联动，避免管理与业务脱节；系统界面需简洁直观、操作简便，针对15189体系认证及各类评审相关功能设置专项操作指引，降低操作人员学习成本，提升工作效率；建立完善的系统运维与更新机制，</w:t>
      </w:r>
      <w:r>
        <w:rPr>
          <w:rFonts w:hint="eastAsia" w:ascii="微软雅黑" w:hAnsi="微软雅黑" w:eastAsia="微软雅黑" w:cs="微软雅黑"/>
          <w:color w:val="auto"/>
          <w:kern w:val="2"/>
          <w:sz w:val="24"/>
          <w:szCs w:val="24"/>
          <w:lang w:val="en-US" w:eastAsia="zh-CN" w:bidi="ar-SA"/>
        </w:rPr>
        <w:t>协助科室</w:t>
      </w:r>
      <w:r>
        <w:rPr>
          <w:rFonts w:hint="default" w:ascii="微软雅黑" w:hAnsi="微软雅黑" w:eastAsia="微软雅黑" w:cs="微软雅黑"/>
          <w:color w:val="auto"/>
          <w:kern w:val="2"/>
          <w:sz w:val="24"/>
          <w:szCs w:val="24"/>
          <w:lang w:val="en-US" w:eastAsia="zh-CN" w:bidi="ar-SA"/>
        </w:rPr>
        <w:t>定期根据15189准则修订内容、各类评审要求优化系统功能，更新标准条款库，确保系统持续满足合规管理与；配备专业的质量管理人员与技术团队，负责系统日常运维、数据核查、流程优化、资料归档等工作，保障系统在</w:t>
      </w:r>
      <w:r>
        <w:rPr>
          <w:rFonts w:hint="eastAsia" w:ascii="微软雅黑" w:hAnsi="微软雅黑" w:eastAsia="微软雅黑" w:cs="微软雅黑"/>
          <w:color w:val="auto"/>
          <w:kern w:val="2"/>
          <w:sz w:val="24"/>
          <w:szCs w:val="24"/>
          <w:lang w:val="en-US" w:eastAsia="zh-CN" w:bidi="ar-SA"/>
        </w:rPr>
        <w:t>日常</w:t>
      </w:r>
      <w:r>
        <w:rPr>
          <w:rFonts w:hint="default" w:ascii="微软雅黑" w:hAnsi="微软雅黑" w:eastAsia="微软雅黑" w:cs="微软雅黑"/>
          <w:color w:val="auto"/>
          <w:kern w:val="2"/>
          <w:sz w:val="24"/>
          <w:szCs w:val="24"/>
          <w:lang w:val="en-US" w:eastAsia="zh-CN" w:bidi="ar-SA"/>
        </w:rPr>
        <w:t>工作中充分发挥支撑作用，助力检验科实现质量管理持续改进</w:t>
      </w:r>
      <w:r>
        <w:rPr>
          <w:rFonts w:hint="eastAsia" w:ascii="微软雅黑" w:hAnsi="微软雅黑" w:eastAsia="微软雅黑" w:cs="微软雅黑"/>
          <w:color w:val="auto"/>
          <w:kern w:val="2"/>
          <w:sz w:val="24"/>
          <w:szCs w:val="24"/>
          <w:lang w:val="en-US" w:eastAsia="zh-CN" w:bidi="ar-SA"/>
        </w:rPr>
        <w:t>。</w:t>
      </w:r>
    </w:p>
    <w:p w14:paraId="3E991915">
      <w:pPr>
        <w:keepNext w:val="0"/>
        <w:keepLines w:val="0"/>
        <w:pageBreakBefore w:val="0"/>
        <w:widowControl w:val="0"/>
        <w:kinsoku/>
        <w:wordWrap/>
        <w:overflowPunct/>
        <w:topLinePunct w:val="0"/>
        <w:autoSpaceDE/>
        <w:autoSpaceDN/>
        <w:bidi w:val="0"/>
        <w:adjustRightInd/>
        <w:snapToGrid/>
        <w:spacing w:before="120" w:after="120" w:line="288" w:lineRule="auto"/>
        <w:ind w:left="0" w:firstLine="480" w:firstLineChars="200"/>
        <w:jc w:val="both"/>
        <w:textAlignment w:val="auto"/>
        <w:rPr>
          <w:rFonts w:hint="eastAsia" w:ascii="微软雅黑" w:hAnsi="微软雅黑" w:eastAsia="微软雅黑" w:cs="微软雅黑"/>
          <w:kern w:val="2"/>
          <w:sz w:val="24"/>
          <w:szCs w:val="24"/>
          <w:lang w:val="en-US" w:eastAsia="zh-CN" w:bidi="ar-SA"/>
        </w:rPr>
      </w:pPr>
    </w:p>
    <w:p w14:paraId="09B6C979">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480" w:firstLineChars="200"/>
        <w:jc w:val="both"/>
        <w:textAlignment w:val="auto"/>
        <w:rPr>
          <w:rFonts w:hint="eastAsia" w:ascii="微软雅黑" w:hAnsi="微软雅黑" w:eastAsia="微软雅黑" w:cs="微软雅黑"/>
          <w:sz w:val="24"/>
          <w14:ligatures w14:val="none"/>
        </w:rPr>
      </w:pPr>
    </w:p>
    <w:p w14:paraId="719745F6">
      <w:pPr>
        <w:pStyle w:val="11"/>
        <w:adjustRightInd w:val="0"/>
        <w:snapToGrid w:val="0"/>
        <w:spacing w:line="360" w:lineRule="auto"/>
        <w:ind w:left="440" w:firstLine="480"/>
        <w:jc w:val="both"/>
        <w:rPr>
          <w:rFonts w:hint="eastAsia" w:ascii="微软雅黑" w:hAnsi="微软雅黑" w:eastAsia="微软雅黑" w:cs="微软雅黑"/>
          <w:sz w:val="24"/>
          <w:szCs w:val="24"/>
        </w:rPr>
      </w:pPr>
    </w:p>
    <w:p w14:paraId="5091B3F9">
      <w:pPr>
        <w:jc w:val="both"/>
        <w:rPr>
          <w:rFonts w:hint="default" w:ascii="宋体" w:hAnsi="宋体" w:cs="宋体"/>
          <w:b/>
          <w:sz w:val="30"/>
          <w:szCs w:val="30"/>
          <w:lang w:val="en-US" w:eastAsia="zh-CN"/>
        </w:rPr>
      </w:pPr>
    </w:p>
    <w:p w14:paraId="586B1374">
      <w:pPr>
        <w:rPr>
          <w:rFonts w:hint="eastAsia" w:ascii="仿宋" w:hAnsi="仿宋" w:eastAsia="仿宋" w:cs="仿宋"/>
          <w:sz w:val="28"/>
          <w:szCs w:val="28"/>
        </w:rPr>
      </w:pPr>
    </w:p>
    <w:p w14:paraId="1AE700BE">
      <w:pPr>
        <w:rPr>
          <w:rFonts w:hint="eastAsia" w:ascii="宋体" w:hAnsi="宋体"/>
          <w:b/>
          <w:szCs w:val="21"/>
        </w:rPr>
      </w:pPr>
    </w:p>
    <w:p w14:paraId="2B142A67"/>
    <w:p w14:paraId="7FC9C380">
      <w:pPr>
        <w:rPr>
          <w:rFonts w:hint="eastAsia" w:ascii="宋体" w:hAnsi="宋体"/>
          <w:szCs w:val="21"/>
        </w:rPr>
      </w:pPr>
    </w:p>
    <w:sectPr>
      <w:footerReference r:id="rId3" w:type="default"/>
      <w:pgSz w:w="11906" w:h="16838"/>
      <w:pgMar w:top="1134" w:right="1418" w:bottom="1134"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11873">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45117C">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E45117C">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8A5"/>
    <w:rsid w:val="000025DA"/>
    <w:rsid w:val="000064E1"/>
    <w:rsid w:val="000145E5"/>
    <w:rsid w:val="00014F54"/>
    <w:rsid w:val="00020CB2"/>
    <w:rsid w:val="00024CB0"/>
    <w:rsid w:val="00030EBA"/>
    <w:rsid w:val="000330EC"/>
    <w:rsid w:val="0003615C"/>
    <w:rsid w:val="000376D2"/>
    <w:rsid w:val="00037B1C"/>
    <w:rsid w:val="00050BD4"/>
    <w:rsid w:val="00060669"/>
    <w:rsid w:val="00066334"/>
    <w:rsid w:val="000729A4"/>
    <w:rsid w:val="0007628A"/>
    <w:rsid w:val="000802F3"/>
    <w:rsid w:val="000815B5"/>
    <w:rsid w:val="00083486"/>
    <w:rsid w:val="00084A5C"/>
    <w:rsid w:val="00086F23"/>
    <w:rsid w:val="00091DAF"/>
    <w:rsid w:val="00093C00"/>
    <w:rsid w:val="00094D3C"/>
    <w:rsid w:val="000A224B"/>
    <w:rsid w:val="000A2A37"/>
    <w:rsid w:val="000A3247"/>
    <w:rsid w:val="000A46E6"/>
    <w:rsid w:val="000B31DA"/>
    <w:rsid w:val="000B4799"/>
    <w:rsid w:val="000C37A6"/>
    <w:rsid w:val="000C5240"/>
    <w:rsid w:val="000D113A"/>
    <w:rsid w:val="000D2E1A"/>
    <w:rsid w:val="000D7AB2"/>
    <w:rsid w:val="000E18DF"/>
    <w:rsid w:val="000E4AC0"/>
    <w:rsid w:val="000F0C4E"/>
    <w:rsid w:val="000F1AD8"/>
    <w:rsid w:val="00102756"/>
    <w:rsid w:val="001059FB"/>
    <w:rsid w:val="00112181"/>
    <w:rsid w:val="00112A64"/>
    <w:rsid w:val="00115938"/>
    <w:rsid w:val="00116BBF"/>
    <w:rsid w:val="0011769C"/>
    <w:rsid w:val="00120EF0"/>
    <w:rsid w:val="00126921"/>
    <w:rsid w:val="00130ADB"/>
    <w:rsid w:val="0013393A"/>
    <w:rsid w:val="00135E05"/>
    <w:rsid w:val="0014110D"/>
    <w:rsid w:val="00143C76"/>
    <w:rsid w:val="00145EE8"/>
    <w:rsid w:val="00150FE9"/>
    <w:rsid w:val="0015381A"/>
    <w:rsid w:val="00154B88"/>
    <w:rsid w:val="00155BF8"/>
    <w:rsid w:val="00155BFD"/>
    <w:rsid w:val="001664E3"/>
    <w:rsid w:val="0016773C"/>
    <w:rsid w:val="00172A27"/>
    <w:rsid w:val="00176014"/>
    <w:rsid w:val="00177322"/>
    <w:rsid w:val="001827A0"/>
    <w:rsid w:val="00184AE1"/>
    <w:rsid w:val="00190921"/>
    <w:rsid w:val="00193F27"/>
    <w:rsid w:val="001952D9"/>
    <w:rsid w:val="001A1071"/>
    <w:rsid w:val="001A44FA"/>
    <w:rsid w:val="001A50FD"/>
    <w:rsid w:val="001A6D3E"/>
    <w:rsid w:val="001B1AE9"/>
    <w:rsid w:val="001B42AB"/>
    <w:rsid w:val="001B764B"/>
    <w:rsid w:val="001C4F4E"/>
    <w:rsid w:val="001C54AC"/>
    <w:rsid w:val="001D4EF5"/>
    <w:rsid w:val="001D726F"/>
    <w:rsid w:val="001E0357"/>
    <w:rsid w:val="001E269A"/>
    <w:rsid w:val="001F201F"/>
    <w:rsid w:val="00206BE0"/>
    <w:rsid w:val="002133CE"/>
    <w:rsid w:val="00213693"/>
    <w:rsid w:val="0022028C"/>
    <w:rsid w:val="002214CF"/>
    <w:rsid w:val="00223956"/>
    <w:rsid w:val="00223F00"/>
    <w:rsid w:val="002258E1"/>
    <w:rsid w:val="00232143"/>
    <w:rsid w:val="00234BCB"/>
    <w:rsid w:val="00234FB7"/>
    <w:rsid w:val="00235FA2"/>
    <w:rsid w:val="00236AF1"/>
    <w:rsid w:val="00242A8E"/>
    <w:rsid w:val="00242C6E"/>
    <w:rsid w:val="0024358B"/>
    <w:rsid w:val="002444A5"/>
    <w:rsid w:val="00252548"/>
    <w:rsid w:val="00260175"/>
    <w:rsid w:val="002676A1"/>
    <w:rsid w:val="00273B65"/>
    <w:rsid w:val="00274C83"/>
    <w:rsid w:val="00282942"/>
    <w:rsid w:val="00283FDE"/>
    <w:rsid w:val="00284C75"/>
    <w:rsid w:val="00284EDA"/>
    <w:rsid w:val="00285123"/>
    <w:rsid w:val="002877B1"/>
    <w:rsid w:val="00290828"/>
    <w:rsid w:val="00296102"/>
    <w:rsid w:val="002A0269"/>
    <w:rsid w:val="002A4B81"/>
    <w:rsid w:val="002A731F"/>
    <w:rsid w:val="002B09A4"/>
    <w:rsid w:val="002B139C"/>
    <w:rsid w:val="002B18FA"/>
    <w:rsid w:val="002B3530"/>
    <w:rsid w:val="002B7E6C"/>
    <w:rsid w:val="002C114A"/>
    <w:rsid w:val="002D0CA8"/>
    <w:rsid w:val="002D7072"/>
    <w:rsid w:val="002E01FB"/>
    <w:rsid w:val="002E5141"/>
    <w:rsid w:val="002E51BC"/>
    <w:rsid w:val="002E548F"/>
    <w:rsid w:val="002E7AE7"/>
    <w:rsid w:val="00306A4C"/>
    <w:rsid w:val="00307019"/>
    <w:rsid w:val="00310060"/>
    <w:rsid w:val="0032019A"/>
    <w:rsid w:val="0032077E"/>
    <w:rsid w:val="003225B1"/>
    <w:rsid w:val="00326133"/>
    <w:rsid w:val="00334FB9"/>
    <w:rsid w:val="003366CD"/>
    <w:rsid w:val="00337AA7"/>
    <w:rsid w:val="003400D4"/>
    <w:rsid w:val="003425C1"/>
    <w:rsid w:val="00344DF4"/>
    <w:rsid w:val="00344FDC"/>
    <w:rsid w:val="00345C05"/>
    <w:rsid w:val="003522BE"/>
    <w:rsid w:val="00352B57"/>
    <w:rsid w:val="00354912"/>
    <w:rsid w:val="00361C03"/>
    <w:rsid w:val="00363FF9"/>
    <w:rsid w:val="00366CE8"/>
    <w:rsid w:val="003750D2"/>
    <w:rsid w:val="00376D45"/>
    <w:rsid w:val="0038100C"/>
    <w:rsid w:val="00381270"/>
    <w:rsid w:val="00384D08"/>
    <w:rsid w:val="00390BEE"/>
    <w:rsid w:val="003930DB"/>
    <w:rsid w:val="00393496"/>
    <w:rsid w:val="0039471F"/>
    <w:rsid w:val="0039475F"/>
    <w:rsid w:val="00394DD7"/>
    <w:rsid w:val="003A00FB"/>
    <w:rsid w:val="003B01C4"/>
    <w:rsid w:val="003B0292"/>
    <w:rsid w:val="003C3B25"/>
    <w:rsid w:val="003C3C0E"/>
    <w:rsid w:val="003C66CC"/>
    <w:rsid w:val="003D0AA6"/>
    <w:rsid w:val="003D233E"/>
    <w:rsid w:val="003D3257"/>
    <w:rsid w:val="003D3BD9"/>
    <w:rsid w:val="003D4CE7"/>
    <w:rsid w:val="003E0BA3"/>
    <w:rsid w:val="003E4614"/>
    <w:rsid w:val="003F0348"/>
    <w:rsid w:val="003F43F8"/>
    <w:rsid w:val="00404330"/>
    <w:rsid w:val="00404915"/>
    <w:rsid w:val="004053C3"/>
    <w:rsid w:val="004121F0"/>
    <w:rsid w:val="0041444E"/>
    <w:rsid w:val="00416D84"/>
    <w:rsid w:val="00417FB9"/>
    <w:rsid w:val="00423D4F"/>
    <w:rsid w:val="0043282B"/>
    <w:rsid w:val="00434336"/>
    <w:rsid w:val="00434901"/>
    <w:rsid w:val="00436496"/>
    <w:rsid w:val="00451021"/>
    <w:rsid w:val="004636AB"/>
    <w:rsid w:val="00467CDF"/>
    <w:rsid w:val="00474168"/>
    <w:rsid w:val="00476C18"/>
    <w:rsid w:val="00477814"/>
    <w:rsid w:val="004811FD"/>
    <w:rsid w:val="004827DA"/>
    <w:rsid w:val="00482EE3"/>
    <w:rsid w:val="00484BED"/>
    <w:rsid w:val="004875C6"/>
    <w:rsid w:val="00492DF2"/>
    <w:rsid w:val="004941E4"/>
    <w:rsid w:val="004961F3"/>
    <w:rsid w:val="004966BC"/>
    <w:rsid w:val="004A08D4"/>
    <w:rsid w:val="004A19E5"/>
    <w:rsid w:val="004A3BC1"/>
    <w:rsid w:val="004B5DFD"/>
    <w:rsid w:val="004B66B8"/>
    <w:rsid w:val="004B6E6C"/>
    <w:rsid w:val="004B6EF4"/>
    <w:rsid w:val="004B7E41"/>
    <w:rsid w:val="004C0ECD"/>
    <w:rsid w:val="004C308B"/>
    <w:rsid w:val="004D0CF6"/>
    <w:rsid w:val="004D10C1"/>
    <w:rsid w:val="004E6EA1"/>
    <w:rsid w:val="004F2A63"/>
    <w:rsid w:val="004F33CF"/>
    <w:rsid w:val="004F5258"/>
    <w:rsid w:val="0050035A"/>
    <w:rsid w:val="00501E25"/>
    <w:rsid w:val="005020C9"/>
    <w:rsid w:val="005023AE"/>
    <w:rsid w:val="00503BB5"/>
    <w:rsid w:val="0051360A"/>
    <w:rsid w:val="005161F0"/>
    <w:rsid w:val="00516DB4"/>
    <w:rsid w:val="00517C41"/>
    <w:rsid w:val="0052192B"/>
    <w:rsid w:val="00521CA5"/>
    <w:rsid w:val="005249F2"/>
    <w:rsid w:val="00525F27"/>
    <w:rsid w:val="00526B21"/>
    <w:rsid w:val="00533C56"/>
    <w:rsid w:val="00550196"/>
    <w:rsid w:val="00552CE8"/>
    <w:rsid w:val="0055550D"/>
    <w:rsid w:val="0056146D"/>
    <w:rsid w:val="00572C38"/>
    <w:rsid w:val="00576507"/>
    <w:rsid w:val="00580086"/>
    <w:rsid w:val="00581950"/>
    <w:rsid w:val="00583E00"/>
    <w:rsid w:val="00583F64"/>
    <w:rsid w:val="005A1C15"/>
    <w:rsid w:val="005A37A3"/>
    <w:rsid w:val="005A5DC4"/>
    <w:rsid w:val="005B4059"/>
    <w:rsid w:val="005C487E"/>
    <w:rsid w:val="005D0EA3"/>
    <w:rsid w:val="005D2FCC"/>
    <w:rsid w:val="005D5A08"/>
    <w:rsid w:val="005D6D96"/>
    <w:rsid w:val="005E121A"/>
    <w:rsid w:val="005F0AE9"/>
    <w:rsid w:val="005F76E0"/>
    <w:rsid w:val="006020D0"/>
    <w:rsid w:val="0060789A"/>
    <w:rsid w:val="00613970"/>
    <w:rsid w:val="0061500B"/>
    <w:rsid w:val="00616468"/>
    <w:rsid w:val="00620A41"/>
    <w:rsid w:val="00625F08"/>
    <w:rsid w:val="0062711E"/>
    <w:rsid w:val="00627CAA"/>
    <w:rsid w:val="00630C34"/>
    <w:rsid w:val="00631A8A"/>
    <w:rsid w:val="00642D59"/>
    <w:rsid w:val="00650115"/>
    <w:rsid w:val="00653A91"/>
    <w:rsid w:val="006558BC"/>
    <w:rsid w:val="0066277C"/>
    <w:rsid w:val="0066622A"/>
    <w:rsid w:val="0066639F"/>
    <w:rsid w:val="00667931"/>
    <w:rsid w:val="006727A4"/>
    <w:rsid w:val="00672F50"/>
    <w:rsid w:val="006737BB"/>
    <w:rsid w:val="0067680F"/>
    <w:rsid w:val="00676AB6"/>
    <w:rsid w:val="00680FD3"/>
    <w:rsid w:val="006842A3"/>
    <w:rsid w:val="00690289"/>
    <w:rsid w:val="00691622"/>
    <w:rsid w:val="00692205"/>
    <w:rsid w:val="00692FE7"/>
    <w:rsid w:val="00695974"/>
    <w:rsid w:val="006965DD"/>
    <w:rsid w:val="00697B00"/>
    <w:rsid w:val="006B126F"/>
    <w:rsid w:val="006B49C4"/>
    <w:rsid w:val="006B769A"/>
    <w:rsid w:val="006C6FD8"/>
    <w:rsid w:val="006C7654"/>
    <w:rsid w:val="006D6987"/>
    <w:rsid w:val="006D6E70"/>
    <w:rsid w:val="006E0E4D"/>
    <w:rsid w:val="006E4191"/>
    <w:rsid w:val="006E5B4E"/>
    <w:rsid w:val="006E7D1A"/>
    <w:rsid w:val="006F64DB"/>
    <w:rsid w:val="00700F72"/>
    <w:rsid w:val="007018F6"/>
    <w:rsid w:val="00712BD8"/>
    <w:rsid w:val="0071399D"/>
    <w:rsid w:val="007250D9"/>
    <w:rsid w:val="00727AA5"/>
    <w:rsid w:val="00732093"/>
    <w:rsid w:val="00732CB0"/>
    <w:rsid w:val="00734871"/>
    <w:rsid w:val="007367DB"/>
    <w:rsid w:val="00741441"/>
    <w:rsid w:val="00745A07"/>
    <w:rsid w:val="0074672A"/>
    <w:rsid w:val="00750991"/>
    <w:rsid w:val="0076633F"/>
    <w:rsid w:val="0076659F"/>
    <w:rsid w:val="00767600"/>
    <w:rsid w:val="00774BBB"/>
    <w:rsid w:val="00792A9D"/>
    <w:rsid w:val="0079308A"/>
    <w:rsid w:val="00793B5C"/>
    <w:rsid w:val="00797837"/>
    <w:rsid w:val="007B26D0"/>
    <w:rsid w:val="007B2A69"/>
    <w:rsid w:val="007B2DC1"/>
    <w:rsid w:val="007B7A3C"/>
    <w:rsid w:val="007C5003"/>
    <w:rsid w:val="007C7E00"/>
    <w:rsid w:val="007D01D6"/>
    <w:rsid w:val="007D1893"/>
    <w:rsid w:val="007D4039"/>
    <w:rsid w:val="007D7C0D"/>
    <w:rsid w:val="007E0C2C"/>
    <w:rsid w:val="007E20CE"/>
    <w:rsid w:val="007E3012"/>
    <w:rsid w:val="007E66EE"/>
    <w:rsid w:val="007F6AAD"/>
    <w:rsid w:val="007F7C89"/>
    <w:rsid w:val="008005EB"/>
    <w:rsid w:val="00801401"/>
    <w:rsid w:val="008050E6"/>
    <w:rsid w:val="00807C0F"/>
    <w:rsid w:val="008141F3"/>
    <w:rsid w:val="008145D7"/>
    <w:rsid w:val="00820FFA"/>
    <w:rsid w:val="008215CB"/>
    <w:rsid w:val="0082630A"/>
    <w:rsid w:val="00826FF3"/>
    <w:rsid w:val="008402CB"/>
    <w:rsid w:val="008415CB"/>
    <w:rsid w:val="00841D4A"/>
    <w:rsid w:val="00842060"/>
    <w:rsid w:val="008465C7"/>
    <w:rsid w:val="00852A78"/>
    <w:rsid w:val="00855F3F"/>
    <w:rsid w:val="00860A65"/>
    <w:rsid w:val="00862095"/>
    <w:rsid w:val="00863002"/>
    <w:rsid w:val="008636B3"/>
    <w:rsid w:val="0086405A"/>
    <w:rsid w:val="00865BBB"/>
    <w:rsid w:val="00867602"/>
    <w:rsid w:val="00867661"/>
    <w:rsid w:val="008704EA"/>
    <w:rsid w:val="008718D7"/>
    <w:rsid w:val="008759FB"/>
    <w:rsid w:val="00876FF0"/>
    <w:rsid w:val="008815DE"/>
    <w:rsid w:val="008833C6"/>
    <w:rsid w:val="008835F5"/>
    <w:rsid w:val="0089539A"/>
    <w:rsid w:val="008969E3"/>
    <w:rsid w:val="008A5F86"/>
    <w:rsid w:val="008B2FA3"/>
    <w:rsid w:val="008B3FEF"/>
    <w:rsid w:val="008B4A6C"/>
    <w:rsid w:val="008C062E"/>
    <w:rsid w:val="008C1CE3"/>
    <w:rsid w:val="008C3323"/>
    <w:rsid w:val="008C5B87"/>
    <w:rsid w:val="008C6BC5"/>
    <w:rsid w:val="008D4576"/>
    <w:rsid w:val="008D635A"/>
    <w:rsid w:val="008D6BD1"/>
    <w:rsid w:val="008D6FE9"/>
    <w:rsid w:val="008F141C"/>
    <w:rsid w:val="00902664"/>
    <w:rsid w:val="0090367C"/>
    <w:rsid w:val="00911C33"/>
    <w:rsid w:val="009127FF"/>
    <w:rsid w:val="0091708F"/>
    <w:rsid w:val="009174B4"/>
    <w:rsid w:val="00917F8D"/>
    <w:rsid w:val="009251C9"/>
    <w:rsid w:val="0092553C"/>
    <w:rsid w:val="009277C9"/>
    <w:rsid w:val="00935D72"/>
    <w:rsid w:val="00940964"/>
    <w:rsid w:val="00940FC7"/>
    <w:rsid w:val="00941E84"/>
    <w:rsid w:val="009435E9"/>
    <w:rsid w:val="00945E0C"/>
    <w:rsid w:val="009464AE"/>
    <w:rsid w:val="00946F04"/>
    <w:rsid w:val="00950E71"/>
    <w:rsid w:val="009511B0"/>
    <w:rsid w:val="0095127C"/>
    <w:rsid w:val="0095287C"/>
    <w:rsid w:val="00953DE5"/>
    <w:rsid w:val="00956FB1"/>
    <w:rsid w:val="00957F1E"/>
    <w:rsid w:val="009618D1"/>
    <w:rsid w:val="00961F59"/>
    <w:rsid w:val="0096251C"/>
    <w:rsid w:val="00964CDB"/>
    <w:rsid w:val="009650B5"/>
    <w:rsid w:val="009667E0"/>
    <w:rsid w:val="0097066E"/>
    <w:rsid w:val="0097413F"/>
    <w:rsid w:val="00974B31"/>
    <w:rsid w:val="0097674C"/>
    <w:rsid w:val="009814E1"/>
    <w:rsid w:val="00983C80"/>
    <w:rsid w:val="00987F1D"/>
    <w:rsid w:val="0099012C"/>
    <w:rsid w:val="00993E0C"/>
    <w:rsid w:val="00994722"/>
    <w:rsid w:val="009A20C9"/>
    <w:rsid w:val="009A2CB1"/>
    <w:rsid w:val="009A37BB"/>
    <w:rsid w:val="009A3D4A"/>
    <w:rsid w:val="009B5BA0"/>
    <w:rsid w:val="009C2EA7"/>
    <w:rsid w:val="009D3061"/>
    <w:rsid w:val="009D3F0C"/>
    <w:rsid w:val="009D743B"/>
    <w:rsid w:val="009E098E"/>
    <w:rsid w:val="009E13FA"/>
    <w:rsid w:val="009E5322"/>
    <w:rsid w:val="009F0470"/>
    <w:rsid w:val="009F1560"/>
    <w:rsid w:val="009F2451"/>
    <w:rsid w:val="009F64A7"/>
    <w:rsid w:val="00A01314"/>
    <w:rsid w:val="00A06244"/>
    <w:rsid w:val="00A07544"/>
    <w:rsid w:val="00A15A16"/>
    <w:rsid w:val="00A207FA"/>
    <w:rsid w:val="00A252DA"/>
    <w:rsid w:val="00A4651C"/>
    <w:rsid w:val="00A46B4E"/>
    <w:rsid w:val="00A518D4"/>
    <w:rsid w:val="00A5240B"/>
    <w:rsid w:val="00A54381"/>
    <w:rsid w:val="00A575CC"/>
    <w:rsid w:val="00A60D0D"/>
    <w:rsid w:val="00A628E6"/>
    <w:rsid w:val="00A63873"/>
    <w:rsid w:val="00A63919"/>
    <w:rsid w:val="00A65F51"/>
    <w:rsid w:val="00A66D0D"/>
    <w:rsid w:val="00A73C28"/>
    <w:rsid w:val="00A74630"/>
    <w:rsid w:val="00A84793"/>
    <w:rsid w:val="00A86EBF"/>
    <w:rsid w:val="00A948DA"/>
    <w:rsid w:val="00AA257F"/>
    <w:rsid w:val="00AA268C"/>
    <w:rsid w:val="00AD2521"/>
    <w:rsid w:val="00AD5A6D"/>
    <w:rsid w:val="00AE11CA"/>
    <w:rsid w:val="00AF18A4"/>
    <w:rsid w:val="00AF2A65"/>
    <w:rsid w:val="00B052A0"/>
    <w:rsid w:val="00B06485"/>
    <w:rsid w:val="00B07BF8"/>
    <w:rsid w:val="00B24A0D"/>
    <w:rsid w:val="00B3159F"/>
    <w:rsid w:val="00B31A92"/>
    <w:rsid w:val="00B342C9"/>
    <w:rsid w:val="00B4090F"/>
    <w:rsid w:val="00B4498F"/>
    <w:rsid w:val="00B46013"/>
    <w:rsid w:val="00B46C6C"/>
    <w:rsid w:val="00B47AA3"/>
    <w:rsid w:val="00B51476"/>
    <w:rsid w:val="00B53D49"/>
    <w:rsid w:val="00B5711F"/>
    <w:rsid w:val="00B6389C"/>
    <w:rsid w:val="00B66F9D"/>
    <w:rsid w:val="00B67AEE"/>
    <w:rsid w:val="00B7485F"/>
    <w:rsid w:val="00B845E8"/>
    <w:rsid w:val="00B85057"/>
    <w:rsid w:val="00B870AB"/>
    <w:rsid w:val="00B90E61"/>
    <w:rsid w:val="00B93234"/>
    <w:rsid w:val="00B94690"/>
    <w:rsid w:val="00B97C26"/>
    <w:rsid w:val="00BA4171"/>
    <w:rsid w:val="00BB0D9C"/>
    <w:rsid w:val="00BB1098"/>
    <w:rsid w:val="00BB351E"/>
    <w:rsid w:val="00BB3644"/>
    <w:rsid w:val="00BB652C"/>
    <w:rsid w:val="00BC1E92"/>
    <w:rsid w:val="00BC2421"/>
    <w:rsid w:val="00BC2CD1"/>
    <w:rsid w:val="00BC3A42"/>
    <w:rsid w:val="00BC79FF"/>
    <w:rsid w:val="00BD31E7"/>
    <w:rsid w:val="00BD36AE"/>
    <w:rsid w:val="00BE29C8"/>
    <w:rsid w:val="00BE4F25"/>
    <w:rsid w:val="00BF0985"/>
    <w:rsid w:val="00BF1393"/>
    <w:rsid w:val="00C0226C"/>
    <w:rsid w:val="00C03F15"/>
    <w:rsid w:val="00C06F17"/>
    <w:rsid w:val="00C12F39"/>
    <w:rsid w:val="00C13483"/>
    <w:rsid w:val="00C16DA1"/>
    <w:rsid w:val="00C24EBE"/>
    <w:rsid w:val="00C31B23"/>
    <w:rsid w:val="00C337D3"/>
    <w:rsid w:val="00C36CB4"/>
    <w:rsid w:val="00C40D5A"/>
    <w:rsid w:val="00C40EB1"/>
    <w:rsid w:val="00C4182F"/>
    <w:rsid w:val="00C43494"/>
    <w:rsid w:val="00C441EB"/>
    <w:rsid w:val="00C50FBD"/>
    <w:rsid w:val="00C51CCE"/>
    <w:rsid w:val="00C52BEF"/>
    <w:rsid w:val="00C572B1"/>
    <w:rsid w:val="00C65B0B"/>
    <w:rsid w:val="00C705D0"/>
    <w:rsid w:val="00C7443F"/>
    <w:rsid w:val="00C864A1"/>
    <w:rsid w:val="00C910F6"/>
    <w:rsid w:val="00C912B2"/>
    <w:rsid w:val="00C92A68"/>
    <w:rsid w:val="00C97F82"/>
    <w:rsid w:val="00CA6E0B"/>
    <w:rsid w:val="00CB25F5"/>
    <w:rsid w:val="00CC4F12"/>
    <w:rsid w:val="00CD0ADE"/>
    <w:rsid w:val="00CE1FA6"/>
    <w:rsid w:val="00CE3578"/>
    <w:rsid w:val="00CF1334"/>
    <w:rsid w:val="00CF5F51"/>
    <w:rsid w:val="00CF60F9"/>
    <w:rsid w:val="00CF731E"/>
    <w:rsid w:val="00CF78E0"/>
    <w:rsid w:val="00D00D4C"/>
    <w:rsid w:val="00D02995"/>
    <w:rsid w:val="00D04240"/>
    <w:rsid w:val="00D04AFB"/>
    <w:rsid w:val="00D06DE3"/>
    <w:rsid w:val="00D07AAF"/>
    <w:rsid w:val="00D13892"/>
    <w:rsid w:val="00D151C6"/>
    <w:rsid w:val="00D17411"/>
    <w:rsid w:val="00D2007B"/>
    <w:rsid w:val="00D20471"/>
    <w:rsid w:val="00D21B28"/>
    <w:rsid w:val="00D25380"/>
    <w:rsid w:val="00D26EFB"/>
    <w:rsid w:val="00D32CD7"/>
    <w:rsid w:val="00D347FF"/>
    <w:rsid w:val="00D41F89"/>
    <w:rsid w:val="00D53A53"/>
    <w:rsid w:val="00D55806"/>
    <w:rsid w:val="00D61261"/>
    <w:rsid w:val="00D65962"/>
    <w:rsid w:val="00D67F9A"/>
    <w:rsid w:val="00D76A40"/>
    <w:rsid w:val="00D81332"/>
    <w:rsid w:val="00D86DE4"/>
    <w:rsid w:val="00D87425"/>
    <w:rsid w:val="00D91B96"/>
    <w:rsid w:val="00DA32C2"/>
    <w:rsid w:val="00DA3F84"/>
    <w:rsid w:val="00DA7284"/>
    <w:rsid w:val="00DA769B"/>
    <w:rsid w:val="00DB1CBC"/>
    <w:rsid w:val="00DB3E26"/>
    <w:rsid w:val="00DB615A"/>
    <w:rsid w:val="00DD2972"/>
    <w:rsid w:val="00DD6185"/>
    <w:rsid w:val="00DD66C6"/>
    <w:rsid w:val="00DE09E4"/>
    <w:rsid w:val="00DE0FF0"/>
    <w:rsid w:val="00DF447B"/>
    <w:rsid w:val="00DF5462"/>
    <w:rsid w:val="00E100D9"/>
    <w:rsid w:val="00E14D47"/>
    <w:rsid w:val="00E154C4"/>
    <w:rsid w:val="00E15825"/>
    <w:rsid w:val="00E20598"/>
    <w:rsid w:val="00E206F5"/>
    <w:rsid w:val="00E21B30"/>
    <w:rsid w:val="00E25FE3"/>
    <w:rsid w:val="00E30B48"/>
    <w:rsid w:val="00E37A13"/>
    <w:rsid w:val="00E37BB5"/>
    <w:rsid w:val="00E4363B"/>
    <w:rsid w:val="00E5011F"/>
    <w:rsid w:val="00E51029"/>
    <w:rsid w:val="00E51B71"/>
    <w:rsid w:val="00E60535"/>
    <w:rsid w:val="00E61C67"/>
    <w:rsid w:val="00E71763"/>
    <w:rsid w:val="00E7299C"/>
    <w:rsid w:val="00E74BE9"/>
    <w:rsid w:val="00E761C9"/>
    <w:rsid w:val="00E7656B"/>
    <w:rsid w:val="00E83571"/>
    <w:rsid w:val="00E86F73"/>
    <w:rsid w:val="00E9064F"/>
    <w:rsid w:val="00E92189"/>
    <w:rsid w:val="00E940AF"/>
    <w:rsid w:val="00E95B2C"/>
    <w:rsid w:val="00E961AD"/>
    <w:rsid w:val="00E9791C"/>
    <w:rsid w:val="00EA0BE3"/>
    <w:rsid w:val="00EA1141"/>
    <w:rsid w:val="00EA390B"/>
    <w:rsid w:val="00EA5F79"/>
    <w:rsid w:val="00EB306C"/>
    <w:rsid w:val="00EB4329"/>
    <w:rsid w:val="00EB641C"/>
    <w:rsid w:val="00EB6994"/>
    <w:rsid w:val="00EC0AB8"/>
    <w:rsid w:val="00EC1C11"/>
    <w:rsid w:val="00EC7ACB"/>
    <w:rsid w:val="00EC7C1D"/>
    <w:rsid w:val="00EC7DED"/>
    <w:rsid w:val="00ED1C4F"/>
    <w:rsid w:val="00ED6661"/>
    <w:rsid w:val="00EE2D68"/>
    <w:rsid w:val="00EE6F56"/>
    <w:rsid w:val="00EE6FEF"/>
    <w:rsid w:val="00EF15CE"/>
    <w:rsid w:val="00F01101"/>
    <w:rsid w:val="00F012E7"/>
    <w:rsid w:val="00F01509"/>
    <w:rsid w:val="00F07B42"/>
    <w:rsid w:val="00F112CF"/>
    <w:rsid w:val="00F12D2E"/>
    <w:rsid w:val="00F14F18"/>
    <w:rsid w:val="00F2466E"/>
    <w:rsid w:val="00F27C7E"/>
    <w:rsid w:val="00F30A61"/>
    <w:rsid w:val="00F33B49"/>
    <w:rsid w:val="00F34F13"/>
    <w:rsid w:val="00F3765E"/>
    <w:rsid w:val="00F445D7"/>
    <w:rsid w:val="00F47176"/>
    <w:rsid w:val="00F61339"/>
    <w:rsid w:val="00F632F7"/>
    <w:rsid w:val="00F6610D"/>
    <w:rsid w:val="00F663CA"/>
    <w:rsid w:val="00F7252D"/>
    <w:rsid w:val="00F730E7"/>
    <w:rsid w:val="00F73E19"/>
    <w:rsid w:val="00F808FC"/>
    <w:rsid w:val="00F879DD"/>
    <w:rsid w:val="00F941C8"/>
    <w:rsid w:val="00F9460C"/>
    <w:rsid w:val="00F97C42"/>
    <w:rsid w:val="00FA3E3F"/>
    <w:rsid w:val="00FA4973"/>
    <w:rsid w:val="00FA68FE"/>
    <w:rsid w:val="00FB0978"/>
    <w:rsid w:val="00FB1877"/>
    <w:rsid w:val="00FB24ED"/>
    <w:rsid w:val="00FB2FA2"/>
    <w:rsid w:val="00FB4B33"/>
    <w:rsid w:val="00FC02AD"/>
    <w:rsid w:val="00FC582B"/>
    <w:rsid w:val="00FD5D2E"/>
    <w:rsid w:val="00FD7007"/>
    <w:rsid w:val="00FE0091"/>
    <w:rsid w:val="00FE1BC3"/>
    <w:rsid w:val="00FE256D"/>
    <w:rsid w:val="00FE68B6"/>
    <w:rsid w:val="00FF2290"/>
    <w:rsid w:val="00FF4EDB"/>
    <w:rsid w:val="00FF5225"/>
    <w:rsid w:val="017E6541"/>
    <w:rsid w:val="04400E68"/>
    <w:rsid w:val="07D243D2"/>
    <w:rsid w:val="09083ABE"/>
    <w:rsid w:val="09087B48"/>
    <w:rsid w:val="097C45B3"/>
    <w:rsid w:val="09D70D46"/>
    <w:rsid w:val="0BE45020"/>
    <w:rsid w:val="123C5E89"/>
    <w:rsid w:val="1408117E"/>
    <w:rsid w:val="15B2017E"/>
    <w:rsid w:val="16DA0303"/>
    <w:rsid w:val="16F37DA3"/>
    <w:rsid w:val="18700145"/>
    <w:rsid w:val="1D1A7D51"/>
    <w:rsid w:val="1D752B34"/>
    <w:rsid w:val="1F6D397B"/>
    <w:rsid w:val="216C46AC"/>
    <w:rsid w:val="220D73C3"/>
    <w:rsid w:val="222039B6"/>
    <w:rsid w:val="22B03F0B"/>
    <w:rsid w:val="23CA116B"/>
    <w:rsid w:val="243501D1"/>
    <w:rsid w:val="25276F73"/>
    <w:rsid w:val="25462628"/>
    <w:rsid w:val="27A523DA"/>
    <w:rsid w:val="27E33E2A"/>
    <w:rsid w:val="291350BF"/>
    <w:rsid w:val="29CF325B"/>
    <w:rsid w:val="29D74C0A"/>
    <w:rsid w:val="2A4D5059"/>
    <w:rsid w:val="2DAD5C67"/>
    <w:rsid w:val="2E892AC2"/>
    <w:rsid w:val="319C6EC0"/>
    <w:rsid w:val="31FE486B"/>
    <w:rsid w:val="3483727A"/>
    <w:rsid w:val="37455084"/>
    <w:rsid w:val="379B37A6"/>
    <w:rsid w:val="3D9E04E5"/>
    <w:rsid w:val="3F2D53C4"/>
    <w:rsid w:val="40DA6079"/>
    <w:rsid w:val="40E35B04"/>
    <w:rsid w:val="43B619A6"/>
    <w:rsid w:val="454B2248"/>
    <w:rsid w:val="45C04A23"/>
    <w:rsid w:val="46F04E55"/>
    <w:rsid w:val="47787623"/>
    <w:rsid w:val="47905C78"/>
    <w:rsid w:val="48685EF3"/>
    <w:rsid w:val="48D04F3E"/>
    <w:rsid w:val="4AED71C0"/>
    <w:rsid w:val="4D7423C6"/>
    <w:rsid w:val="540041D6"/>
    <w:rsid w:val="54650CA0"/>
    <w:rsid w:val="551B1C06"/>
    <w:rsid w:val="55370009"/>
    <w:rsid w:val="55F70DB3"/>
    <w:rsid w:val="56496330"/>
    <w:rsid w:val="5BDF6271"/>
    <w:rsid w:val="5C73657E"/>
    <w:rsid w:val="5EAB67E9"/>
    <w:rsid w:val="5F7139DB"/>
    <w:rsid w:val="60274BF2"/>
    <w:rsid w:val="61C42EF5"/>
    <w:rsid w:val="622D3FEE"/>
    <w:rsid w:val="63B51524"/>
    <w:rsid w:val="65DD0C9E"/>
    <w:rsid w:val="65EA391B"/>
    <w:rsid w:val="65EC58CC"/>
    <w:rsid w:val="6A660B6E"/>
    <w:rsid w:val="6A752FE8"/>
    <w:rsid w:val="6E6E7349"/>
    <w:rsid w:val="6F217F12"/>
    <w:rsid w:val="70296E16"/>
    <w:rsid w:val="70623E13"/>
    <w:rsid w:val="732B407F"/>
    <w:rsid w:val="732C0889"/>
    <w:rsid w:val="739B7DF3"/>
    <w:rsid w:val="74E07B5D"/>
    <w:rsid w:val="751C78AF"/>
    <w:rsid w:val="75CA2399"/>
    <w:rsid w:val="7A562584"/>
    <w:rsid w:val="7B804456"/>
    <w:rsid w:val="7C6430F0"/>
    <w:rsid w:val="7D31726E"/>
    <w:rsid w:val="7EF36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uiPriority="99" w:name="Body Text Indent 2"/>
    <w:lsdException w:qFormat="1"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link w:val="29"/>
    <w:qFormat/>
    <w:uiPriority w:val="0"/>
    <w:pPr>
      <w:keepNext/>
      <w:keepLines/>
      <w:spacing w:before="260" w:after="260" w:line="415" w:lineRule="auto"/>
      <w:outlineLvl w:val="2"/>
    </w:pPr>
    <w:rPr>
      <w:rFonts w:asciiTheme="minorHAnsi" w:hAnsiTheme="minorHAnsi" w:eastAsiaTheme="minorEastAsia" w:cstheme="minorBidi"/>
      <w:sz w:val="32"/>
      <w:szCs w:val="32"/>
    </w:rPr>
  </w:style>
  <w:style w:type="paragraph" w:styleId="4">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3"/>
    <w:unhideWhenUsed/>
    <w:qFormat/>
    <w:uiPriority w:val="0"/>
    <w:pPr>
      <w:jc w:val="left"/>
    </w:pPr>
    <w:rPr>
      <w:rFonts w:ascii="Calibri" w:hAnsi="Calibri"/>
      <w:kern w:val="0"/>
      <w:sz w:val="20"/>
      <w:szCs w:val="20"/>
    </w:rPr>
  </w:style>
  <w:style w:type="paragraph" w:styleId="7">
    <w:name w:val="Body Text 3"/>
    <w:basedOn w:val="1"/>
    <w:unhideWhenUsed/>
    <w:qFormat/>
    <w:uiPriority w:val="99"/>
    <w:rPr>
      <w:rFonts w:ascii="宋体" w:hAnsi="宋体"/>
      <w:sz w:val="36"/>
    </w:rPr>
  </w:style>
  <w:style w:type="paragraph" w:styleId="8">
    <w:name w:val="Balloon Text"/>
    <w:basedOn w:val="1"/>
    <w:link w:val="25"/>
    <w:semiHidden/>
    <w:unhideWhenUsed/>
    <w:qFormat/>
    <w:uiPriority w:val="99"/>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Body Text Indent 3"/>
    <w:basedOn w:val="1"/>
    <w:semiHidden/>
    <w:unhideWhenUsed/>
    <w:qFormat/>
    <w:uiPriority w:val="99"/>
    <w:pPr>
      <w:spacing w:after="120"/>
      <w:ind w:left="420" w:leftChars="200"/>
    </w:pPr>
    <w:rPr>
      <w:sz w:val="16"/>
      <w:szCs w:val="16"/>
    </w:rPr>
  </w:style>
  <w:style w:type="paragraph" w:styleId="12">
    <w:name w:val="Normal (Web)"/>
    <w:basedOn w:val="1"/>
    <w:unhideWhenUsed/>
    <w:qFormat/>
    <w:uiPriority w:val="99"/>
    <w:pPr>
      <w:widowControl/>
      <w:spacing w:before="100" w:beforeAutospacing="1" w:after="100" w:afterAutospacing="1"/>
      <w:jc w:val="left"/>
    </w:pPr>
    <w:rPr>
      <w:rFonts w:ascii="宋体" w:hAnsi="宋体"/>
      <w:kern w:val="0"/>
      <w:sz w:val="24"/>
    </w:rPr>
  </w:style>
  <w:style w:type="paragraph" w:styleId="13">
    <w:name w:val="annotation subject"/>
    <w:basedOn w:val="6"/>
    <w:next w:val="6"/>
    <w:link w:val="26"/>
    <w:semiHidden/>
    <w:unhideWhenUsed/>
    <w:qFormat/>
    <w:uiPriority w:val="99"/>
    <w:rPr>
      <w:rFonts w:ascii="Times New Roman" w:hAnsi="Times New Roman"/>
      <w:b/>
      <w:bCs/>
      <w:kern w:val="2"/>
      <w:sz w:val="21"/>
      <w:szCs w:val="24"/>
    </w:rPr>
  </w:style>
  <w:style w:type="table" w:styleId="15">
    <w:name w:val="Table Grid"/>
    <w:basedOn w:val="1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styleId="18">
    <w:name w:val="page number"/>
    <w:basedOn w:val="16"/>
    <w:unhideWhenUsed/>
    <w:qFormat/>
    <w:uiPriority w:val="99"/>
  </w:style>
  <w:style w:type="character" w:styleId="19">
    <w:name w:val="annotation reference"/>
    <w:qFormat/>
    <w:uiPriority w:val="0"/>
    <w:rPr>
      <w:sz w:val="21"/>
      <w:szCs w:val="21"/>
    </w:rPr>
  </w:style>
  <w:style w:type="character" w:customStyle="1" w:styleId="20">
    <w:name w:val="font41"/>
    <w:qFormat/>
    <w:uiPriority w:val="0"/>
    <w:rPr>
      <w:rFonts w:hint="eastAsia" w:ascii="宋体" w:hAnsi="宋体" w:eastAsia="宋体"/>
      <w:color w:val="000000"/>
      <w:sz w:val="22"/>
      <w:szCs w:val="22"/>
      <w:u w:val="none"/>
    </w:rPr>
  </w:style>
  <w:style w:type="character" w:customStyle="1" w:styleId="21">
    <w:name w:val="font11"/>
    <w:qFormat/>
    <w:uiPriority w:val="0"/>
    <w:rPr>
      <w:rFonts w:hint="eastAsia" w:ascii="微软雅黑" w:hAnsi="微软雅黑" w:eastAsia="微软雅黑"/>
      <w:color w:val="000000"/>
      <w:sz w:val="22"/>
      <w:szCs w:val="22"/>
      <w:u w:val="none"/>
    </w:rPr>
  </w:style>
  <w:style w:type="character" w:customStyle="1" w:styleId="22">
    <w:name w:val="text"/>
    <w:basedOn w:val="16"/>
    <w:qFormat/>
    <w:uiPriority w:val="0"/>
  </w:style>
  <w:style w:type="character" w:customStyle="1" w:styleId="23">
    <w:name w:val="批注文字 字符"/>
    <w:link w:val="6"/>
    <w:qFormat/>
    <w:uiPriority w:val="0"/>
    <w:rPr>
      <w:rFonts w:ascii="Calibri" w:hAnsi="Calibri"/>
    </w:rPr>
  </w:style>
  <w:style w:type="character" w:customStyle="1" w:styleId="24">
    <w:name w:val="批注文字 Char"/>
    <w:semiHidden/>
    <w:qFormat/>
    <w:uiPriority w:val="99"/>
    <w:rPr>
      <w:kern w:val="2"/>
      <w:sz w:val="21"/>
      <w:szCs w:val="24"/>
    </w:rPr>
  </w:style>
  <w:style w:type="character" w:customStyle="1" w:styleId="25">
    <w:name w:val="批注框文本 字符"/>
    <w:link w:val="8"/>
    <w:semiHidden/>
    <w:qFormat/>
    <w:uiPriority w:val="99"/>
    <w:rPr>
      <w:kern w:val="2"/>
      <w:sz w:val="18"/>
      <w:szCs w:val="18"/>
    </w:rPr>
  </w:style>
  <w:style w:type="character" w:customStyle="1" w:styleId="26">
    <w:name w:val="批注主题 字符"/>
    <w:link w:val="13"/>
    <w:semiHidden/>
    <w:qFormat/>
    <w:uiPriority w:val="99"/>
    <w:rPr>
      <w:rFonts w:ascii="Calibri" w:hAnsi="Calibri"/>
      <w:b/>
      <w:bCs/>
      <w:kern w:val="2"/>
      <w:sz w:val="21"/>
      <w:szCs w:val="24"/>
    </w:rPr>
  </w:style>
  <w:style w:type="character" w:customStyle="1" w:styleId="27">
    <w:name w:val="标题 1 Char Char"/>
    <w:basedOn w:val="16"/>
    <w:qFormat/>
    <w:uiPriority w:val="0"/>
    <w:rPr>
      <w:rFonts w:eastAsia="宋体"/>
      <w:b/>
      <w:spacing w:val="-2"/>
      <w:sz w:val="24"/>
      <w:lang w:val="en-US" w:eastAsia="zh-CN" w:bidi="ar-SA"/>
    </w:rPr>
  </w:style>
  <w:style w:type="paragraph" w:styleId="28">
    <w:name w:val="List Paragraph"/>
    <w:basedOn w:val="1"/>
    <w:qFormat/>
    <w:uiPriority w:val="34"/>
    <w:pPr>
      <w:widowControl/>
      <w:ind w:left="720" w:firstLine="360"/>
      <w:contextualSpacing/>
      <w:jc w:val="left"/>
    </w:pPr>
    <w:rPr>
      <w:rFonts w:ascii="Calibri" w:hAnsi="Calibri"/>
      <w:kern w:val="0"/>
      <w:sz w:val="22"/>
      <w:szCs w:val="22"/>
      <w:lang w:eastAsia="en-US" w:bidi="en-US"/>
    </w:rPr>
  </w:style>
  <w:style w:type="character" w:customStyle="1" w:styleId="29">
    <w:name w:val="标题 3 字符"/>
    <w:basedOn w:val="16"/>
    <w:link w:val="3"/>
    <w:qFormat/>
    <w:uiPriority w:val="0"/>
    <w:rPr>
      <w:rFonts w:asciiTheme="minorHAnsi" w:hAnsiTheme="minorHAnsi" w:eastAsiaTheme="minorEastAsia" w:cstheme="minorBidi"/>
      <w:kern w:val="2"/>
      <w:sz w:val="32"/>
      <w:szCs w:val="32"/>
    </w:rPr>
  </w:style>
  <w:style w:type="character" w:customStyle="1" w:styleId="30">
    <w:name w:val="fontstyle01"/>
    <w:qFormat/>
    <w:uiPriority w:val="0"/>
    <w:rPr>
      <w:rFonts w:hint="eastAsia" w:ascii="宋体" w:hAnsi="宋体" w:eastAsia="宋体"/>
      <w:color w:val="00000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EEBAF6-53C3-4735-A551-2D0D21D060F7}">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11122</Words>
  <Characters>11692</Characters>
  <Lines>64</Lines>
  <Paragraphs>69</Paragraphs>
  <TotalTime>12</TotalTime>
  <ScaleCrop>false</ScaleCrop>
  <LinksUpToDate>false</LinksUpToDate>
  <CharactersWithSpaces>11874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2023-05-17T02:07:00Z</dcterms:created>
  <dc:creator>Administrator</dc:creator>
  <cp:lastModifiedBy>叶亚丽</cp:lastModifiedBy>
  <dcterms:modified xsi:type="dcterms:W3CDTF">2026-08-12T03:46:17Z</dcterms:modified>
  <cp:revision>176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eyJoZGlkIjoiMDE0MGIwOGU4YWU5ZWNlMzUxMjQ0NDdkOTc5ZTEwMjMiLCJ1c2VySWQiOiIzMzY4NzUxMjUifQ==</vt:lpwstr>
  </property>
  <property fmtid="{D5CDD505-2E9C-101B-9397-08002B2CF9AE}" pid="4" name="ICV">
    <vt:lpwstr>492A88430492426CB059CBDAD94F8A04_13</vt:lpwstr>
  </property>
</Properties>
</file>